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contextualSpacing/>
        <w:jc w:val="center"/>
        <w:rPr>
          <w:rFonts w:ascii="方正小标宋简体" w:hAnsi="仿宋" w:eastAsia="方正小标宋简体"/>
          <w:sz w:val="44"/>
          <w:szCs w:val="44"/>
        </w:rPr>
      </w:pPr>
      <w:r>
        <w:rPr>
          <w:rFonts w:hint="eastAsia" w:ascii="方正小标宋简体" w:hAnsi="仿宋" w:eastAsia="方正小标宋简体"/>
          <w:sz w:val="44"/>
          <w:szCs w:val="44"/>
        </w:rPr>
        <w:t>大厂回族自治县陈府镇人民政府</w:t>
      </w:r>
    </w:p>
    <w:p>
      <w:pPr>
        <w:snapToGrid w:val="0"/>
        <w:spacing w:line="600" w:lineRule="exact"/>
        <w:contextualSpacing/>
        <w:jc w:val="center"/>
        <w:rPr>
          <w:rFonts w:ascii="方正小标宋简体" w:hAnsi="仿宋" w:eastAsia="方正小标宋简体"/>
          <w:sz w:val="44"/>
          <w:szCs w:val="44"/>
        </w:rPr>
      </w:pPr>
      <w:r>
        <w:rPr>
          <w:rFonts w:hint="eastAsia" w:ascii="方正小标宋简体" w:hAnsi="仿宋" w:eastAsia="方正小标宋简体"/>
          <w:sz w:val="44"/>
          <w:szCs w:val="44"/>
        </w:rPr>
        <w:t>2018年部门预算信息公开情况说明</w:t>
      </w:r>
    </w:p>
    <w:p>
      <w:pPr>
        <w:spacing w:line="580" w:lineRule="exact"/>
        <w:ind w:firstLine="640" w:firstLineChars="200"/>
        <w:rPr>
          <w:rFonts w:ascii="仿宋" w:hAnsi="仿宋" w:eastAsia="仿宋" w:cs="仿宋"/>
          <w:sz w:val="32"/>
          <w:szCs w:val="32"/>
        </w:rPr>
      </w:pPr>
    </w:p>
    <w:p>
      <w:pPr>
        <w:spacing w:line="440" w:lineRule="exact"/>
        <w:rPr>
          <w:rFonts w:ascii="仿宋" w:hAnsi="仿宋" w:eastAsia="仿宋" w:cs="仿宋"/>
          <w:sz w:val="32"/>
          <w:szCs w:val="32"/>
        </w:rPr>
      </w:pPr>
      <w:r>
        <w:rPr>
          <w:rFonts w:hint="eastAsia" w:ascii="仿宋" w:hAnsi="仿宋" w:eastAsia="仿宋" w:cs="仿宋"/>
          <w:sz w:val="32"/>
          <w:szCs w:val="32"/>
        </w:rPr>
        <w:t xml:space="preserve">    按照</w:t>
      </w:r>
      <w:r>
        <w:rPr>
          <w:rFonts w:hint="eastAsia" w:ascii="仿宋" w:hAnsi="仿宋" w:eastAsia="仿宋" w:cs="仿宋"/>
          <w:sz w:val="32"/>
          <w:szCs w:val="32"/>
          <w:lang w:eastAsia="zh-CN"/>
        </w:rPr>
        <w:t>《中华人民共和国预算法》</w:t>
      </w:r>
      <w:r>
        <w:rPr>
          <w:rFonts w:hint="eastAsia" w:ascii="仿宋" w:hAnsi="仿宋" w:eastAsia="仿宋" w:cs="仿宋"/>
          <w:sz w:val="32"/>
          <w:szCs w:val="32"/>
        </w:rPr>
        <w:t>、《地方预决算公开操作规程》和《河北省省级预算公开办法》规定，现将大厂回族自治县陈府镇人民政府2018年部门预算公开如下：</w:t>
      </w:r>
    </w:p>
    <w:p>
      <w:pPr>
        <w:spacing w:line="440" w:lineRule="exact"/>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bookmarkStart w:id="3" w:name="_GoBack"/>
      <w:bookmarkEnd w:id="3"/>
    </w:p>
    <w:p>
      <w:pPr>
        <w:spacing w:line="440" w:lineRule="exact"/>
        <w:ind w:firstLine="640"/>
        <w:rPr>
          <w:rFonts w:ascii="楷体" w:hAnsi="楷体" w:eastAsia="楷体"/>
          <w:b/>
          <w:sz w:val="32"/>
          <w:szCs w:val="32"/>
        </w:rPr>
      </w:pPr>
      <w:r>
        <w:rPr>
          <w:rFonts w:hint="eastAsia" w:ascii="楷体" w:hAnsi="楷体" w:eastAsia="楷体"/>
          <w:b/>
          <w:sz w:val="32"/>
          <w:szCs w:val="32"/>
        </w:rPr>
        <w:t>部门职责：</w:t>
      </w:r>
    </w:p>
    <w:p>
      <w:pPr>
        <w:spacing w:line="440" w:lineRule="exact"/>
        <w:ind w:firstLine="560"/>
        <w:rPr>
          <w:rFonts w:ascii="楷体" w:hAnsi="楷体" w:eastAsia="楷体" w:cs="Times New Roman"/>
          <w:b/>
          <w:sz w:val="32"/>
          <w:szCs w:val="32"/>
        </w:rPr>
      </w:pPr>
      <w:r>
        <w:rPr>
          <w:rFonts w:ascii="楷体" w:hAnsi="楷体" w:eastAsia="楷体" w:cs="Times New Roman"/>
          <w:b/>
          <w:sz w:val="32"/>
          <w:szCs w:val="32"/>
        </w:rPr>
        <w:t>（一）大厂回族自治县陈府镇人民政府主要职责</w:t>
      </w:r>
    </w:p>
    <w:p>
      <w:pPr>
        <w:spacing w:line="44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切实贯彻创新、协调、绿色、开放、共享“五大发展理念”，认真履行经济调节、市场监管、公共服务、社会治理、环境保护“五大职责”，坚持民生优先、生态优先、效率优先、法纪优先，团结依靠全镇人民，不忘初心、继续前进，坚持绿色发展、坚定创新实干，全力打造园林化旅游特色小镇。</w:t>
      </w:r>
    </w:p>
    <w:p>
      <w:pPr>
        <w:spacing w:line="440" w:lineRule="exact"/>
        <w:ind w:firstLine="643" w:firstLineChars="200"/>
        <w:jc w:val="left"/>
        <w:rPr>
          <w:rFonts w:ascii="楷体" w:hAnsi="楷体" w:eastAsia="楷体"/>
          <w:b/>
          <w:sz w:val="32"/>
          <w:szCs w:val="32"/>
        </w:rPr>
      </w:pPr>
      <w:r>
        <w:rPr>
          <w:rFonts w:hint="eastAsia" w:ascii="楷体" w:hAnsi="楷体" w:eastAsia="楷体"/>
          <w:b/>
          <w:sz w:val="32"/>
          <w:szCs w:val="32"/>
        </w:rPr>
        <w:t>(二）陈府镇财政所主要职责</w:t>
      </w:r>
    </w:p>
    <w:p>
      <w:pPr>
        <w:spacing w:line="440" w:lineRule="exact"/>
        <w:ind w:firstLine="560"/>
        <w:rPr>
          <w:rFonts w:ascii="仿宋" w:hAnsi="仿宋" w:eastAsia="仿宋" w:cs="Times New Roman"/>
          <w:sz w:val="32"/>
          <w:szCs w:val="32"/>
        </w:rPr>
      </w:pPr>
      <w:r>
        <w:rPr>
          <w:rFonts w:ascii="仿宋" w:hAnsi="仿宋" w:eastAsia="仿宋" w:cs="Times New Roman"/>
          <w:sz w:val="32"/>
          <w:szCs w:val="32"/>
        </w:rPr>
        <w:t>贯彻执行国家财政的法律法规和方针政策，拟定年初预算草案，执行人大批准的财政预算、决算，管理和监督镇财政收支等。负责镇财政预算的执行，遵守财政纪律，负责镇各项财政支出等；确保全镇各项惠农资金全额发放到农民手中；具体负责“村财镇管”搞好村级财务收支管理和监督。</w:t>
      </w:r>
    </w:p>
    <w:p>
      <w:pPr>
        <w:spacing w:line="440" w:lineRule="exact"/>
        <w:rPr>
          <w:rFonts w:ascii="楷体" w:hAnsi="楷体" w:eastAsia="楷体"/>
          <w:b/>
          <w:sz w:val="32"/>
          <w:szCs w:val="32"/>
        </w:rPr>
      </w:pPr>
      <w:r>
        <w:rPr>
          <w:rFonts w:hint="eastAsia" w:ascii="楷体" w:hAnsi="楷体" w:eastAsia="楷体"/>
          <w:b/>
          <w:sz w:val="32"/>
          <w:szCs w:val="32"/>
        </w:rPr>
        <w:t xml:space="preserve">    （三）陈府镇农业服务中心主要职责</w:t>
      </w:r>
    </w:p>
    <w:p>
      <w:pPr>
        <w:spacing w:line="440" w:lineRule="exact"/>
        <w:rPr>
          <w:rFonts w:ascii="楷体" w:hAnsi="楷体" w:eastAsia="楷体"/>
          <w:b/>
          <w:sz w:val="32"/>
          <w:szCs w:val="32"/>
        </w:rPr>
      </w:pPr>
      <w:r>
        <w:rPr>
          <w:rFonts w:hint="eastAsia" w:ascii="楷体" w:hAnsi="楷体" w:eastAsia="楷体"/>
          <w:b/>
          <w:sz w:val="32"/>
          <w:szCs w:val="32"/>
        </w:rPr>
        <w:t xml:space="preserve">    </w:t>
      </w:r>
      <w:r>
        <w:rPr>
          <w:rFonts w:ascii="仿宋" w:hAnsi="仿宋" w:eastAsia="仿宋" w:cs="Times New Roman"/>
          <w:sz w:val="32"/>
          <w:szCs w:val="32"/>
        </w:rPr>
        <w:t>1、正确贯彻党在农村的各项路线、方针政策，深化改革、强化服务职能，保护农民的利益，调动农民的生产积极性。</w:t>
      </w:r>
    </w:p>
    <w:p>
      <w:pPr>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2、组织植树造林，国土绿化，防风固沙及基地建设，负责镇农业机械管理。</w:t>
      </w:r>
    </w:p>
    <w:p>
      <w:pPr>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3、负责农业产前、产中、产后的服务工作，进行指导、协调和实施。</w:t>
      </w:r>
    </w:p>
    <w:p>
      <w:pPr>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4、推进农业产业结构调整，优化产业结构。</w:t>
      </w:r>
    </w:p>
    <w:p>
      <w:pPr>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5、搞好村街农田水利工程规划设计，解决群众用水方面发生的矛盾，宣传水法，为群众办水利上的实事，搞好防洪排涝和抗旱等工作。</w:t>
      </w:r>
    </w:p>
    <w:p>
      <w:pPr>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6、畜牧防疫、新品种引进、推广。</w:t>
      </w:r>
    </w:p>
    <w:p>
      <w:pPr>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7、做好林业病虫害防治工作，改进栽培技术，提高果品质量，发展无公害名优果品。</w:t>
      </w:r>
    </w:p>
    <w:p>
      <w:pPr>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8、完成主管部门交办的各项工作，搞好总结、材料汇总，统计报表等工作。</w:t>
      </w:r>
    </w:p>
    <w:p>
      <w:pPr>
        <w:spacing w:line="440" w:lineRule="exact"/>
        <w:rPr>
          <w:rFonts w:ascii="楷体" w:hAnsi="楷体" w:eastAsia="楷体"/>
          <w:b/>
          <w:sz w:val="32"/>
          <w:szCs w:val="32"/>
        </w:rPr>
      </w:pPr>
      <w:r>
        <w:rPr>
          <w:rFonts w:hint="eastAsia" w:ascii="楷体" w:hAnsi="楷体" w:eastAsia="楷体"/>
          <w:b/>
          <w:sz w:val="32"/>
          <w:szCs w:val="32"/>
        </w:rPr>
        <w:t xml:space="preserve">    （四）陈府镇广播站主要职责</w:t>
      </w:r>
    </w:p>
    <w:p>
      <w:pPr>
        <w:spacing w:line="440" w:lineRule="exact"/>
        <w:ind w:firstLine="640" w:firstLineChars="200"/>
        <w:rPr>
          <w:rFonts w:ascii="仿宋" w:hAnsi="仿宋" w:eastAsia="仿宋"/>
          <w:sz w:val="32"/>
          <w:szCs w:val="32"/>
        </w:rPr>
      </w:pPr>
      <w:r>
        <w:rPr>
          <w:rFonts w:ascii="仿宋" w:hAnsi="仿宋" w:eastAsia="仿宋" w:cs="Times New Roman"/>
          <w:sz w:val="32"/>
          <w:szCs w:val="32"/>
        </w:rPr>
        <w:t>全面贯彻党的路线、方针、政策和国家的法律法规，把握好舆论导向，搞好地方文化宣传，制订本镇文化广播事业的发展规划，负责对群众进行爱国主义宣传教育，组织发展群众性文娱、体育活动。</w:t>
      </w:r>
    </w:p>
    <w:p>
      <w:pPr>
        <w:spacing w:line="440" w:lineRule="exact"/>
        <w:rPr>
          <w:rFonts w:ascii="楷体" w:hAnsi="楷体" w:eastAsia="楷体"/>
          <w:b/>
          <w:sz w:val="32"/>
          <w:szCs w:val="32"/>
        </w:rPr>
      </w:pPr>
      <w:r>
        <w:rPr>
          <w:rFonts w:hint="eastAsia" w:ascii="楷体" w:hAnsi="楷体" w:eastAsia="楷体"/>
          <w:b/>
          <w:sz w:val="32"/>
          <w:szCs w:val="32"/>
        </w:rPr>
        <w:t xml:space="preserve">    （五）陈府镇计划生育服务站主要职责</w:t>
      </w:r>
    </w:p>
    <w:p>
      <w:pPr>
        <w:spacing w:line="440" w:lineRule="exact"/>
        <w:rPr>
          <w:rFonts w:ascii="楷体" w:hAnsi="楷体" w:eastAsia="楷体"/>
          <w:b/>
          <w:sz w:val="32"/>
          <w:szCs w:val="32"/>
        </w:rPr>
      </w:pPr>
      <w:r>
        <w:rPr>
          <w:rFonts w:hint="eastAsia" w:ascii="楷体" w:hAnsi="楷体" w:eastAsia="楷体"/>
          <w:b/>
          <w:sz w:val="32"/>
          <w:szCs w:val="32"/>
        </w:rPr>
        <w:t xml:space="preserve">    </w:t>
      </w:r>
      <w:r>
        <w:rPr>
          <w:rFonts w:ascii="仿宋" w:hAnsi="仿宋" w:eastAsia="仿宋" w:cs="Times New Roman"/>
          <w:sz w:val="32"/>
          <w:szCs w:val="32"/>
        </w:rPr>
        <w:t>1、负责宣传贯彻党和政府关于计划生育的方针、政策、法律法规，认真落实计划生育法。</w:t>
      </w:r>
    </w:p>
    <w:p>
      <w:pPr>
        <w:spacing w:line="440" w:lineRule="exact"/>
        <w:rPr>
          <w:rFonts w:ascii="楷体" w:hAnsi="楷体" w:eastAsia="楷体"/>
          <w:b/>
          <w:sz w:val="32"/>
          <w:szCs w:val="32"/>
        </w:rPr>
      </w:pPr>
      <w:r>
        <w:rPr>
          <w:rFonts w:hint="eastAsia" w:ascii="楷体" w:hAnsi="楷体" w:eastAsia="楷体"/>
          <w:b/>
          <w:sz w:val="32"/>
          <w:szCs w:val="32"/>
        </w:rPr>
        <w:t xml:space="preserve">    </w:t>
      </w:r>
      <w:r>
        <w:rPr>
          <w:rFonts w:ascii="仿宋" w:hAnsi="仿宋" w:eastAsia="仿宋" w:cs="Times New Roman"/>
          <w:sz w:val="32"/>
          <w:szCs w:val="32"/>
        </w:rPr>
        <w:t>2、负责抓好辖区人口（流动人口）与计划生育管理、服务工作。</w:t>
      </w:r>
    </w:p>
    <w:p>
      <w:pPr>
        <w:spacing w:line="440" w:lineRule="exact"/>
        <w:rPr>
          <w:rFonts w:ascii="楷体" w:hAnsi="楷体" w:eastAsia="楷体"/>
          <w:b/>
          <w:sz w:val="32"/>
          <w:szCs w:val="32"/>
        </w:rPr>
      </w:pPr>
      <w:r>
        <w:rPr>
          <w:rFonts w:hint="eastAsia" w:ascii="楷体" w:hAnsi="楷体" w:eastAsia="楷体"/>
          <w:b/>
          <w:sz w:val="32"/>
          <w:szCs w:val="32"/>
        </w:rPr>
        <w:t xml:space="preserve">    </w:t>
      </w:r>
      <w:r>
        <w:rPr>
          <w:rFonts w:ascii="仿宋" w:hAnsi="仿宋" w:eastAsia="仿宋" w:cs="Times New Roman"/>
          <w:sz w:val="32"/>
          <w:szCs w:val="32"/>
        </w:rPr>
        <w:t>3、制定本镇人口发展的中长期规划和年度计划。</w:t>
      </w:r>
    </w:p>
    <w:p>
      <w:pPr>
        <w:spacing w:line="440" w:lineRule="exact"/>
        <w:rPr>
          <w:rFonts w:ascii="楷体" w:hAnsi="楷体" w:eastAsia="楷体"/>
          <w:b/>
          <w:sz w:val="32"/>
          <w:szCs w:val="32"/>
        </w:rPr>
      </w:pPr>
      <w:r>
        <w:rPr>
          <w:rFonts w:hint="eastAsia" w:ascii="楷体" w:hAnsi="楷体" w:eastAsia="楷体"/>
          <w:b/>
          <w:sz w:val="32"/>
          <w:szCs w:val="32"/>
        </w:rPr>
        <w:t xml:space="preserve">    </w:t>
      </w:r>
      <w:r>
        <w:rPr>
          <w:rFonts w:ascii="仿宋" w:hAnsi="仿宋" w:eastAsia="仿宋" w:cs="Times New Roman"/>
          <w:sz w:val="32"/>
          <w:szCs w:val="32"/>
        </w:rPr>
        <w:t>4、搞好避孕药具的保护和发放，定期开展孕检普查及落实各项长效节育措施等。</w:t>
      </w:r>
    </w:p>
    <w:p>
      <w:pPr>
        <w:spacing w:line="440" w:lineRule="exact"/>
        <w:rPr>
          <w:rFonts w:ascii="楷体" w:hAnsi="楷体" w:eastAsia="楷体"/>
          <w:b/>
          <w:sz w:val="32"/>
          <w:szCs w:val="32"/>
        </w:rPr>
      </w:pPr>
      <w:r>
        <w:rPr>
          <w:rFonts w:hint="eastAsia" w:ascii="楷体" w:hAnsi="楷体" w:eastAsia="楷体"/>
          <w:b/>
          <w:sz w:val="32"/>
          <w:szCs w:val="32"/>
        </w:rPr>
        <w:t xml:space="preserve">    </w:t>
      </w:r>
      <w:r>
        <w:rPr>
          <w:rFonts w:ascii="仿宋" w:hAnsi="仿宋" w:eastAsia="仿宋" w:cs="Times New Roman"/>
          <w:sz w:val="32"/>
          <w:szCs w:val="32"/>
        </w:rPr>
        <w:t>5、组织计生专（兼）职人员进行业务知识培训，组织已婚育龄人员进行教育培训</w:t>
      </w:r>
      <w:r>
        <w:rPr>
          <w:rFonts w:hint="eastAsia" w:ascii="仿宋" w:hAnsi="仿宋" w:eastAsia="仿宋"/>
          <w:sz w:val="32"/>
          <w:szCs w:val="32"/>
        </w:rPr>
        <w:t>。</w:t>
      </w:r>
    </w:p>
    <w:p>
      <w:pPr>
        <w:autoSpaceDE w:val="0"/>
        <w:autoSpaceDN w:val="0"/>
        <w:adjustRightInd w:val="0"/>
        <w:spacing w:line="440" w:lineRule="exact"/>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6"/>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大厂回族自治县陈府镇人民政府</w:t>
            </w:r>
          </w:p>
        </w:tc>
        <w:tc>
          <w:tcPr>
            <w:tcW w:w="1134"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cs="Times New Roman"/>
                <w:szCs w:val="24"/>
              </w:rPr>
              <w:t>全额</w:t>
            </w:r>
            <w:r>
              <w:rPr>
                <w:rFonts w:hint="eastAsia" w:ascii="Times New Roman" w:hAnsi="Times New Roman" w:eastAsia="方正书宋_GBK" w:cs="Times New Roman"/>
                <w:szCs w:val="24"/>
              </w:rPr>
              <w:t>行政</w:t>
            </w: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正科级</w:t>
            </w: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bl>
    <w:p/>
    <w:p>
      <w:pPr>
        <w:spacing w:line="440" w:lineRule="exact"/>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440" w:lineRule="exact"/>
        <w:ind w:firstLine="640"/>
        <w:rPr>
          <w:rFonts w:ascii="仿宋" w:hAnsi="仿宋" w:eastAsia="仿宋" w:cs="Times New Roman"/>
          <w:sz w:val="32"/>
          <w:szCs w:val="32"/>
        </w:rPr>
      </w:pPr>
      <w:r>
        <w:rPr>
          <w:rFonts w:ascii="仿宋" w:hAnsi="仿宋" w:eastAsia="仿宋" w:cs="Times New Roman"/>
          <w:sz w:val="32"/>
          <w:szCs w:val="32"/>
        </w:rPr>
        <w:t>按照预算管理有关规定，目前我部门预算的编制实行综合预算制度，即全部收入和支出都反映</w:t>
      </w:r>
      <w:r>
        <w:rPr>
          <w:rFonts w:hint="eastAsia" w:ascii="仿宋" w:hAnsi="仿宋" w:eastAsia="仿宋" w:cs="Times New Roman"/>
          <w:sz w:val="32"/>
          <w:szCs w:val="32"/>
        </w:rPr>
        <w:t>在</w:t>
      </w:r>
      <w:r>
        <w:rPr>
          <w:rFonts w:ascii="仿宋" w:hAnsi="仿宋" w:eastAsia="仿宋" w:cs="Times New Roman"/>
          <w:sz w:val="32"/>
          <w:szCs w:val="32"/>
        </w:rPr>
        <w:t>预算中。</w:t>
      </w:r>
      <w:r>
        <w:rPr>
          <w:rFonts w:hint="eastAsia" w:ascii="仿宋" w:hAnsi="仿宋" w:eastAsia="仿宋" w:cs="Times New Roman"/>
          <w:sz w:val="32"/>
          <w:szCs w:val="32"/>
        </w:rPr>
        <w:t>我部门及所属事业单位的收支包含在部门预算中。</w:t>
      </w:r>
    </w:p>
    <w:p>
      <w:pPr>
        <w:spacing w:line="440" w:lineRule="exact"/>
        <w:ind w:firstLine="640"/>
        <w:rPr>
          <w:rFonts w:ascii="仿宋" w:hAnsi="仿宋" w:eastAsia="仿宋" w:cs="Times New Roman"/>
          <w:sz w:val="32"/>
          <w:szCs w:val="32"/>
        </w:rPr>
      </w:pPr>
      <w:r>
        <w:rPr>
          <w:rFonts w:hint="eastAsia" w:ascii="楷体" w:hAnsi="楷体" w:eastAsia="楷体" w:cs="楷体"/>
          <w:b/>
          <w:bCs/>
          <w:sz w:val="32"/>
          <w:szCs w:val="32"/>
        </w:rPr>
        <w:t>1、收入说明</w:t>
      </w:r>
    </w:p>
    <w:p>
      <w:pPr>
        <w:spacing w:line="440" w:lineRule="exact"/>
        <w:ind w:firstLine="640"/>
        <w:rPr>
          <w:rFonts w:ascii="仿宋" w:hAnsi="仿宋" w:eastAsia="仿宋" w:cs="仿宋"/>
          <w:sz w:val="32"/>
          <w:szCs w:val="32"/>
        </w:rPr>
      </w:pPr>
      <w:r>
        <w:rPr>
          <w:rFonts w:hint="eastAsia" w:ascii="仿宋" w:hAnsi="仿宋" w:eastAsia="仿宋" w:cs="仿宋"/>
          <w:sz w:val="32"/>
          <w:szCs w:val="32"/>
        </w:rPr>
        <w:t>反映本部门当年全部收入。2018年预算收入11099.89万元，其中：一般公共预算收入1099.89万元，政府性基金收入10000万元，国有资本经营收入0万元，事业收入0万元，其他收入0万元。</w:t>
      </w:r>
    </w:p>
    <w:p>
      <w:pPr>
        <w:spacing w:line="440" w:lineRule="exact"/>
        <w:ind w:firstLine="640"/>
        <w:rPr>
          <w:rFonts w:ascii="楷体" w:hAnsi="楷体" w:eastAsia="楷体" w:cs="楷体"/>
          <w:b/>
          <w:bCs/>
          <w:sz w:val="32"/>
          <w:szCs w:val="32"/>
        </w:rPr>
      </w:pPr>
      <w:r>
        <w:rPr>
          <w:rFonts w:hint="eastAsia" w:ascii="楷体" w:hAnsi="楷体" w:eastAsia="楷体" w:cs="楷体"/>
          <w:b/>
          <w:bCs/>
          <w:sz w:val="32"/>
          <w:szCs w:val="32"/>
        </w:rPr>
        <w:t>2、支出说明</w:t>
      </w:r>
    </w:p>
    <w:p>
      <w:pPr>
        <w:spacing w:line="440" w:lineRule="exact"/>
        <w:ind w:firstLine="640"/>
        <w:rPr>
          <w:rFonts w:ascii="仿宋" w:hAnsi="仿宋" w:eastAsia="仿宋" w:cs="仿宋"/>
          <w:sz w:val="32"/>
          <w:szCs w:val="32"/>
        </w:rPr>
      </w:pPr>
      <w:r>
        <w:rPr>
          <w:rFonts w:hint="eastAsia" w:ascii="仿宋" w:hAnsi="仿宋" w:eastAsia="仿宋" w:cs="仿宋"/>
          <w:sz w:val="32"/>
          <w:szCs w:val="32"/>
        </w:rPr>
        <w:t>反映大厂回族自治县陈府镇2018年度部门预算中支出预算的总体情况。2018年支出预算11099.89万元，其中基本支出575.93万元，包括人员经费491.93万元和日常公用经费84万元；项目支出10523.96万元，主要为专项业务活动、农林水类等项目支出。</w:t>
      </w:r>
    </w:p>
    <w:p>
      <w:pPr>
        <w:spacing w:line="440" w:lineRule="exact"/>
        <w:ind w:firstLine="640"/>
        <w:rPr>
          <w:rFonts w:ascii="仿宋" w:hAnsi="仿宋" w:eastAsia="仿宋" w:cs="仿宋"/>
          <w:sz w:val="32"/>
          <w:szCs w:val="32"/>
        </w:rPr>
      </w:pPr>
      <w:r>
        <w:rPr>
          <w:rFonts w:hint="eastAsia" w:ascii="楷体" w:hAnsi="楷体" w:eastAsia="楷体" w:cs="楷体"/>
          <w:b/>
          <w:bCs/>
          <w:sz w:val="32"/>
          <w:szCs w:val="32"/>
        </w:rPr>
        <w:t>3、比上年增减变化情况</w:t>
      </w:r>
    </w:p>
    <w:p>
      <w:pPr>
        <w:spacing w:line="440" w:lineRule="exact"/>
        <w:ind w:firstLine="640"/>
        <w:rPr>
          <w:rFonts w:ascii="仿宋" w:hAnsi="仿宋" w:eastAsia="仿宋" w:cs="仿宋"/>
          <w:sz w:val="32"/>
          <w:szCs w:val="32"/>
        </w:rPr>
      </w:pPr>
      <w:r>
        <w:rPr>
          <w:rFonts w:hint="eastAsia" w:ascii="仿宋" w:hAnsi="仿宋" w:eastAsia="仿宋" w:cs="仿宋"/>
          <w:sz w:val="32"/>
          <w:szCs w:val="32"/>
        </w:rPr>
        <w:t>2018年预算收支安排11099.89万元，较2017年预算增加10417.44万元，其中：基本支出增加73.94万元，主要为增加人员经费支出；项目支出增加346.98万元，主要为专项业务活动项目支出增加。</w:t>
      </w:r>
    </w:p>
    <w:p>
      <w:pPr>
        <w:spacing w:line="440" w:lineRule="exact"/>
        <w:rPr>
          <w:rFonts w:ascii="仿宋" w:hAnsi="仿宋" w:eastAsia="仿宋" w:cs="仿宋"/>
          <w:sz w:val="32"/>
          <w:szCs w:val="32"/>
        </w:rPr>
      </w:pPr>
      <w:r>
        <w:rPr>
          <w:rFonts w:hint="eastAsia" w:ascii="黑体" w:hAnsi="黑体" w:eastAsia="黑体" w:cs="Times New Roman"/>
          <w:sz w:val="32"/>
          <w:szCs w:val="32"/>
        </w:rPr>
        <w:t xml:space="preserve">    三、机关运行经费安排情况</w:t>
      </w:r>
    </w:p>
    <w:p>
      <w:pPr>
        <w:spacing w:line="440" w:lineRule="exact"/>
        <w:rPr>
          <w:rFonts w:ascii="仿宋" w:hAnsi="仿宋" w:eastAsia="仿宋" w:cs="仿宋"/>
          <w:sz w:val="32"/>
          <w:szCs w:val="32"/>
        </w:rPr>
      </w:pPr>
      <w:r>
        <w:rPr>
          <w:rFonts w:hint="eastAsia" w:ascii="仿宋" w:hAnsi="仿宋" w:eastAsia="仿宋" w:cs="仿宋"/>
          <w:sz w:val="32"/>
          <w:szCs w:val="32"/>
        </w:rPr>
        <w:t xml:space="preserve">   2018年机关运行经费共计安排84万元，主要用于我部门办公费、取暖费、办公电话费、维护费等日常运行支出。机关运行经费是指各部门的公务经费，包括办公及印刷费、邮电费、差旅费、会议费、福利费、日常维护费、专用材料及一般设备购置费、办公用房水电费、办公用房取暖费、公务用车运行维护费以及其他费用。</w:t>
      </w:r>
    </w:p>
    <w:p>
      <w:pPr>
        <w:spacing w:line="44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spacing w:line="440" w:lineRule="exact"/>
        <w:rPr>
          <w:rFonts w:ascii="仿宋" w:hAnsi="仿宋" w:eastAsia="仿宋" w:cs="仿宋"/>
          <w:sz w:val="32"/>
          <w:szCs w:val="32"/>
        </w:rPr>
      </w:pPr>
      <w:r>
        <w:rPr>
          <w:rFonts w:hint="eastAsia" w:ascii="仿宋" w:hAnsi="仿宋" w:eastAsia="仿宋" w:cs="仿宋"/>
          <w:sz w:val="32"/>
          <w:szCs w:val="32"/>
        </w:rPr>
        <w:t xml:space="preserve">    2018年，我单位“三公”经费预算安排7.55万元，其中因公出国（境）费0万元；公务用车购置及运维费7.2万元（其中：公务用车购置费为0万元，公务用车运行费7.2万元)，</w:t>
      </w:r>
      <w:r>
        <w:rPr>
          <w:rFonts w:hint="eastAsia" w:ascii="仿宋" w:hAnsi="仿宋" w:eastAsia="仿宋"/>
          <w:sz w:val="32"/>
          <w:szCs w:val="32"/>
        </w:rPr>
        <w:t>比2017年减少2.86万元，减少</w:t>
      </w:r>
      <w:r>
        <w:rPr>
          <w:rFonts w:hint="eastAsia" w:ascii="仿宋" w:hAnsi="仿宋" w:eastAsia="仿宋"/>
          <w:sz w:val="32"/>
          <w:szCs w:val="32"/>
          <w:lang w:eastAsia="zh-CN"/>
        </w:rPr>
        <w:t>原因是</w:t>
      </w:r>
      <w:r>
        <w:rPr>
          <w:rFonts w:hint="eastAsia" w:ascii="仿宋" w:hAnsi="仿宋" w:eastAsia="仿宋"/>
          <w:sz w:val="32"/>
          <w:szCs w:val="32"/>
        </w:rPr>
        <w:t>单位人员的调出；</w:t>
      </w:r>
      <w:r>
        <w:rPr>
          <w:rFonts w:hint="eastAsia" w:ascii="仿宋" w:hAnsi="仿宋" w:eastAsia="仿宋" w:cs="仿宋"/>
          <w:sz w:val="32"/>
          <w:szCs w:val="32"/>
        </w:rPr>
        <w:t>公务接待费0.35万元</w:t>
      </w:r>
      <w:r>
        <w:rPr>
          <w:rFonts w:hint="eastAsia" w:ascii="仿宋" w:hAnsi="仿宋" w:eastAsia="仿宋"/>
          <w:sz w:val="32"/>
          <w:szCs w:val="32"/>
        </w:rPr>
        <w:t>，比2017年减少0.34万元，减少</w:t>
      </w:r>
      <w:r>
        <w:rPr>
          <w:rFonts w:hint="eastAsia" w:ascii="仿宋" w:hAnsi="仿宋" w:eastAsia="仿宋"/>
          <w:sz w:val="32"/>
          <w:szCs w:val="32"/>
          <w:lang w:eastAsia="zh-CN"/>
        </w:rPr>
        <w:t>原因是</w:t>
      </w:r>
      <w:r>
        <w:rPr>
          <w:rFonts w:hint="eastAsia" w:ascii="仿宋" w:hAnsi="仿宋" w:eastAsia="仿宋"/>
          <w:sz w:val="32"/>
          <w:szCs w:val="32"/>
        </w:rPr>
        <w:t>单位人员的调出；无公务用车购置及因公出国(境)支出</w:t>
      </w:r>
      <w:r>
        <w:rPr>
          <w:rFonts w:hint="eastAsia" w:ascii="仿宋" w:hAnsi="仿宋" w:eastAsia="仿宋" w:cs="仿宋"/>
          <w:sz w:val="32"/>
          <w:szCs w:val="32"/>
        </w:rPr>
        <w:t>。</w:t>
      </w:r>
    </w:p>
    <w:p>
      <w:pPr>
        <w:spacing w:line="440" w:lineRule="exact"/>
        <w:rPr>
          <w:rFonts w:ascii="黑体" w:hAnsi="黑体" w:eastAsia="黑体" w:cs="Times New Roman"/>
          <w:sz w:val="32"/>
          <w:szCs w:val="32"/>
        </w:rPr>
      </w:pPr>
      <w:r>
        <w:rPr>
          <w:rFonts w:hint="eastAsia" w:ascii="黑体" w:hAnsi="黑体" w:eastAsia="黑体" w:cs="Times New Roman"/>
          <w:sz w:val="32"/>
          <w:szCs w:val="32"/>
        </w:rPr>
        <w:t xml:space="preserve">    五、绩效预算信息</w:t>
      </w:r>
    </w:p>
    <w:p>
      <w:pPr>
        <w:spacing w:line="440" w:lineRule="exact"/>
        <w:ind w:firstLine="643" w:firstLineChars="200"/>
        <w:jc w:val="left"/>
        <w:rPr>
          <w:rFonts w:ascii="楷体" w:hAnsi="楷体" w:eastAsia="楷体" w:cs="Times New Roman"/>
          <w:b/>
          <w:sz w:val="32"/>
          <w:szCs w:val="32"/>
        </w:rPr>
      </w:pPr>
      <w:bookmarkStart w:id="0" w:name="_Toc471398463"/>
      <w:r>
        <w:rPr>
          <w:rFonts w:ascii="楷体" w:hAnsi="楷体" w:eastAsia="楷体" w:cs="Times New Roman"/>
          <w:b/>
          <w:sz w:val="32"/>
          <w:szCs w:val="32"/>
        </w:rPr>
        <w:t>总体绩效目标：</w:t>
      </w:r>
    </w:p>
    <w:p>
      <w:pPr>
        <w:spacing w:line="440" w:lineRule="exact"/>
        <w:ind w:firstLine="560"/>
        <w:rPr>
          <w:rFonts w:ascii="仿宋" w:hAnsi="仿宋" w:eastAsia="仿宋" w:cs="仿宋"/>
          <w:kern w:val="0"/>
          <w:sz w:val="32"/>
          <w:szCs w:val="32"/>
        </w:rPr>
      </w:pPr>
      <w:r>
        <w:rPr>
          <w:rFonts w:hint="eastAsia" w:ascii="楷体" w:hAnsi="楷体" w:eastAsia="楷体" w:cs="Times New Roman"/>
          <w:b/>
          <w:sz w:val="32"/>
          <w:szCs w:val="32"/>
        </w:rPr>
        <w:t>（一）</w:t>
      </w:r>
      <w:r>
        <w:rPr>
          <w:rFonts w:ascii="楷体" w:hAnsi="楷体" w:eastAsia="楷体" w:cs="Times New Roman"/>
          <w:b/>
          <w:sz w:val="32"/>
          <w:szCs w:val="32"/>
        </w:rPr>
        <w:t>陈府镇政府绩效目标：</w:t>
      </w:r>
      <w:r>
        <w:rPr>
          <w:rFonts w:hint="eastAsia" w:ascii="仿宋" w:hAnsi="仿宋" w:eastAsia="仿宋" w:cs="仿宋"/>
          <w:kern w:val="0"/>
          <w:sz w:val="32"/>
          <w:szCs w:val="32"/>
        </w:rPr>
        <w:t>全面贯彻党的十九大和十九届一中全会精神，以邓小平理论、</w:t>
      </w:r>
      <w:r>
        <w:rPr>
          <w:rFonts w:ascii="Times New Roman" w:hAnsi="Times New Roman" w:cs="Times New Roman"/>
          <w:kern w:val="0"/>
          <w:sz w:val="32"/>
          <w:szCs w:val="32"/>
        </w:rPr>
        <w:t>“</w:t>
      </w:r>
      <w:r>
        <w:rPr>
          <w:rFonts w:hint="eastAsia" w:ascii="仿宋" w:hAnsi="仿宋" w:eastAsia="仿宋" w:cs="仿宋"/>
          <w:kern w:val="0"/>
          <w:sz w:val="32"/>
          <w:szCs w:val="32"/>
        </w:rPr>
        <w:t>三个代表</w:t>
      </w:r>
      <w:r>
        <w:rPr>
          <w:rFonts w:ascii="Times New Roman" w:hAnsi="Times New Roman" w:cs="Times New Roman"/>
          <w:kern w:val="0"/>
          <w:sz w:val="32"/>
          <w:szCs w:val="32"/>
        </w:rPr>
        <w:t>”</w:t>
      </w:r>
      <w:r>
        <w:rPr>
          <w:rFonts w:hint="eastAsia" w:ascii="仿宋" w:hAnsi="仿宋" w:eastAsia="仿宋" w:cs="仿宋"/>
          <w:kern w:val="0"/>
          <w:sz w:val="32"/>
          <w:szCs w:val="32"/>
        </w:rPr>
        <w:t>重要思想、科学发展观为指导，以习近平总书记系列重要讲话精神引领航向，深入落实省市县委重大决策部署，紧紧抓住京津冀协同发展和北京城市副中心加快建设重大机遇，坚持绿色发展、坚定创新实干，全力打造</w:t>
      </w:r>
      <w:r>
        <w:rPr>
          <w:rFonts w:ascii="Times New Roman" w:hAnsi="Times New Roman" w:cs="Times New Roman"/>
          <w:kern w:val="0"/>
          <w:sz w:val="32"/>
          <w:szCs w:val="32"/>
        </w:rPr>
        <w:t>“</w:t>
      </w:r>
      <w:r>
        <w:rPr>
          <w:rFonts w:hint="eastAsia" w:ascii="仿宋" w:hAnsi="仿宋" w:eastAsia="仿宋" w:cs="仿宋"/>
          <w:kern w:val="0"/>
          <w:sz w:val="32"/>
          <w:szCs w:val="32"/>
        </w:rPr>
        <w:t>产业配套、功能齐全、设施完备、环境优美</w:t>
      </w:r>
      <w:r>
        <w:rPr>
          <w:rFonts w:ascii="Times New Roman" w:hAnsi="Times New Roman" w:cs="Times New Roman"/>
          <w:kern w:val="0"/>
          <w:sz w:val="32"/>
          <w:szCs w:val="32"/>
        </w:rPr>
        <w:t>”</w:t>
      </w:r>
      <w:r>
        <w:rPr>
          <w:rFonts w:hint="eastAsia" w:ascii="仿宋" w:hAnsi="仿宋" w:eastAsia="仿宋" w:cs="仿宋"/>
          <w:kern w:val="0"/>
          <w:sz w:val="32"/>
          <w:szCs w:val="32"/>
        </w:rPr>
        <w:t>的园林化旅游特色小镇。</w:t>
      </w:r>
    </w:p>
    <w:p>
      <w:pPr>
        <w:spacing w:line="440" w:lineRule="exact"/>
        <w:ind w:firstLine="643" w:firstLineChars="200"/>
        <w:jc w:val="left"/>
        <w:rPr>
          <w:rFonts w:ascii="仿宋" w:hAnsi="仿宋" w:eastAsia="仿宋"/>
          <w:sz w:val="32"/>
          <w:szCs w:val="32"/>
        </w:rPr>
      </w:pPr>
      <w:r>
        <w:rPr>
          <w:rFonts w:hint="eastAsia" w:ascii="楷体" w:hAnsi="楷体" w:eastAsia="楷体" w:cs="Times New Roman"/>
          <w:b/>
          <w:sz w:val="32"/>
          <w:szCs w:val="32"/>
        </w:rPr>
        <w:t>（二）</w:t>
      </w:r>
      <w:r>
        <w:rPr>
          <w:rFonts w:ascii="楷体" w:hAnsi="楷体" w:eastAsia="楷体" w:cs="Times New Roman"/>
          <w:b/>
          <w:sz w:val="32"/>
          <w:szCs w:val="32"/>
        </w:rPr>
        <w:t>陈府镇财政所绩效目标：</w:t>
      </w:r>
      <w:r>
        <w:rPr>
          <w:rFonts w:ascii="仿宋" w:hAnsi="仿宋" w:eastAsia="仿宋" w:cs="Times New Roman"/>
          <w:sz w:val="32"/>
          <w:szCs w:val="32"/>
        </w:rPr>
        <w:t>加强预算内、外资金管理，增强镇镇财政实力、推动财政建设。完善和深化财政管理体制改革，建立镇财源建设激励机制。确保全镇各项惠农资金全额发放到农民手中。加强农村财务管理和监督，维护财经纪律。做好“一事一议”专项资金的申报、审核、发放、监督工作。安排和管理好财政支出，坚持“量入为出”的原则，有计划的做好综合预算，统筹兼顾，保证重点，厉行节约，讲求效益，使镇镇财政支出的安排与收入保持平衡。</w:t>
      </w:r>
    </w:p>
    <w:p>
      <w:pPr>
        <w:spacing w:line="440" w:lineRule="exact"/>
        <w:ind w:firstLine="560"/>
        <w:rPr>
          <w:rFonts w:ascii="仿宋" w:hAnsi="仿宋" w:eastAsia="仿宋" w:cs="Times New Roman"/>
          <w:sz w:val="32"/>
          <w:szCs w:val="32"/>
        </w:rPr>
      </w:pPr>
      <w:r>
        <w:rPr>
          <w:rFonts w:hint="eastAsia" w:ascii="楷体" w:hAnsi="楷体" w:eastAsia="楷体" w:cs="Times New Roman"/>
          <w:b/>
          <w:sz w:val="32"/>
          <w:szCs w:val="32"/>
        </w:rPr>
        <w:t>（三）</w:t>
      </w:r>
      <w:r>
        <w:rPr>
          <w:rFonts w:ascii="楷体" w:hAnsi="楷体" w:eastAsia="楷体" w:cs="Times New Roman"/>
          <w:b/>
          <w:sz w:val="32"/>
          <w:szCs w:val="32"/>
        </w:rPr>
        <w:t>陈府镇农技站绩效目标：</w:t>
      </w:r>
      <w:r>
        <w:rPr>
          <w:rFonts w:ascii="仿宋" w:hAnsi="仿宋" w:eastAsia="仿宋" w:cs="Times New Roman"/>
          <w:sz w:val="32"/>
          <w:szCs w:val="32"/>
        </w:rPr>
        <w:t>通过农业结构调整，整合优势产业，使全镇种植业特色更加突出，畜牧业规模膨胀，设施农业上档升级，科技含量逐步提高，林业实现跨越式发展，农业综合效益稳步增加，农民收入明显提高。继续扶持成立农民专业合作社，突出加强农业基础设施建设，促进农业稳定发展、农民持续增收，推进全民创业和社会主义新农村建设。</w:t>
      </w:r>
    </w:p>
    <w:p>
      <w:pPr>
        <w:spacing w:line="440" w:lineRule="exact"/>
        <w:ind w:firstLine="560"/>
        <w:rPr>
          <w:rFonts w:ascii="仿宋" w:hAnsi="仿宋" w:eastAsia="仿宋" w:cs="Times New Roman"/>
          <w:sz w:val="32"/>
          <w:szCs w:val="32"/>
        </w:rPr>
      </w:pPr>
      <w:r>
        <w:rPr>
          <w:rFonts w:hint="eastAsia" w:ascii="楷体" w:hAnsi="楷体" w:eastAsia="楷体" w:cs="Times New Roman"/>
          <w:b/>
          <w:sz w:val="32"/>
          <w:szCs w:val="32"/>
        </w:rPr>
        <w:t>（四）</w:t>
      </w:r>
      <w:r>
        <w:rPr>
          <w:rFonts w:ascii="楷体" w:hAnsi="楷体" w:eastAsia="楷体" w:cs="Times New Roman"/>
          <w:b/>
          <w:sz w:val="32"/>
          <w:szCs w:val="32"/>
        </w:rPr>
        <w:t>陈府镇广播站绩效目标：</w:t>
      </w:r>
      <w:r>
        <w:rPr>
          <w:rFonts w:ascii="仿宋" w:hAnsi="仿宋" w:eastAsia="仿宋" w:cs="Times New Roman"/>
          <w:sz w:val="32"/>
          <w:szCs w:val="32"/>
        </w:rPr>
        <w:t>在镇党委、政府的正确领导下，广泛宣传党的政策、路线方针，搞好农村的精神文明建设，提高人民群众的科技文化素质。</w:t>
      </w:r>
    </w:p>
    <w:p>
      <w:pPr>
        <w:spacing w:line="440" w:lineRule="exact"/>
        <w:ind w:firstLine="560"/>
        <w:rPr>
          <w:rFonts w:ascii="仿宋" w:hAnsi="仿宋" w:eastAsia="仿宋"/>
          <w:sz w:val="32"/>
          <w:szCs w:val="32"/>
        </w:rPr>
      </w:pPr>
      <w:r>
        <w:rPr>
          <w:rFonts w:hint="eastAsia" w:ascii="楷体" w:hAnsi="楷体" w:eastAsia="楷体" w:cs="Times New Roman"/>
          <w:b/>
          <w:sz w:val="32"/>
          <w:szCs w:val="32"/>
        </w:rPr>
        <w:t>（五）</w:t>
      </w:r>
      <w:r>
        <w:rPr>
          <w:rFonts w:ascii="楷体" w:hAnsi="楷体" w:eastAsia="楷体" w:cs="Times New Roman"/>
          <w:b/>
          <w:sz w:val="32"/>
          <w:szCs w:val="32"/>
        </w:rPr>
        <w:t>陈府镇计生办绩效目标：</w:t>
      </w:r>
      <w:r>
        <w:rPr>
          <w:rFonts w:ascii="仿宋" w:hAnsi="仿宋" w:eastAsia="仿宋" w:cs="Times New Roman"/>
          <w:sz w:val="32"/>
          <w:szCs w:val="32"/>
        </w:rPr>
        <w:t>按照上级人口计划指标要求，制定201</w:t>
      </w:r>
      <w:r>
        <w:rPr>
          <w:rFonts w:hint="eastAsia" w:ascii="仿宋" w:hAnsi="仿宋" w:eastAsia="仿宋" w:cs="Times New Roman"/>
          <w:sz w:val="32"/>
          <w:szCs w:val="32"/>
        </w:rPr>
        <w:t>8</w:t>
      </w:r>
      <w:r>
        <w:rPr>
          <w:rFonts w:ascii="仿宋" w:hAnsi="仿宋" w:eastAsia="仿宋" w:cs="Times New Roman"/>
          <w:sz w:val="32"/>
          <w:szCs w:val="32"/>
        </w:rPr>
        <w:t>年人口计划，确保出生率达98%以上。加大宣传培训力度，使国家的法律、法规更加深入人心。拓宽服务领域，加强对全镇育龄妇女的身心健康服务。加强流动人口计划生育管理工作，加大综合治理力度。加大严格执法，文明执法工作力度。</w:t>
      </w:r>
    </w:p>
    <w:p>
      <w:pPr>
        <w:spacing w:line="580" w:lineRule="exact"/>
        <w:ind w:firstLine="643" w:firstLineChars="200"/>
        <w:jc w:val="left"/>
        <w:outlineLvl w:val="0"/>
        <w:rPr>
          <w:rFonts w:ascii="楷体_GB2312" w:hAnsi="黑体" w:eastAsia="楷体_GB2312" w:cs="Times New Roman"/>
          <w:b/>
          <w:sz w:val="32"/>
          <w:szCs w:val="32"/>
        </w:rPr>
      </w:pPr>
      <w:r>
        <w:rPr>
          <w:rFonts w:hint="eastAsia" w:ascii="楷体_GB2312" w:hAnsi="黑体" w:eastAsia="楷体_GB2312" w:cs="Times New Roman"/>
          <w:b/>
          <w:sz w:val="32"/>
          <w:szCs w:val="32"/>
        </w:rPr>
        <w:t>部门职责及工作活动绩效目标指标：</w:t>
      </w:r>
    </w:p>
    <w:p>
      <w:pPr>
        <w:jc w:val="center"/>
        <w:outlineLvl w:val="0"/>
        <w:rPr>
          <w:rFonts w:ascii="方正小标宋_GBK" w:eastAsia="方正小标宋_GBK"/>
          <w:sz w:val="32"/>
        </w:rPr>
      </w:pPr>
      <w:bookmarkStart w:id="1" w:name="_Toc505949932"/>
    </w:p>
    <w:p>
      <w:pPr>
        <w:jc w:val="center"/>
        <w:outlineLvl w:val="0"/>
        <w:rPr>
          <w:rFonts w:ascii="方正小标宋_GBK" w:eastAsia="方正小标宋_GBK"/>
          <w:sz w:val="32"/>
        </w:rPr>
      </w:pPr>
      <w:r>
        <w:rPr>
          <w:rFonts w:hint="eastAsia" w:ascii="方正小标宋_GBK" w:eastAsia="方正小标宋_GBK"/>
          <w:sz w:val="32"/>
        </w:rPr>
        <w:t>部门职责-工作活动绩效目标</w:t>
      </w:r>
      <w:bookmarkEnd w:id="1"/>
    </w:p>
    <w:tbl>
      <w:tblPr>
        <w:tblStyle w:val="6"/>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rPr>
            </w:pPr>
            <w:r>
              <w:rPr>
                <w:rFonts w:ascii="方正小标宋_GBK" w:eastAsia="方正小标宋_GBK"/>
              </w:rPr>
              <w:t>806</w:t>
            </w:r>
            <w:r>
              <w:rPr>
                <w:rFonts w:hint="eastAsia" w:ascii="方正小标宋_GBK"/>
              </w:rPr>
              <w:t>大厂回族自治县</w:t>
            </w:r>
            <w:r>
              <w:rPr>
                <w:rFonts w:hint="eastAsia" w:ascii="方正小标宋_GBK" w:eastAsia="方正小标宋_GBK"/>
              </w:rPr>
              <w:t>陈府镇人民政府</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一、林业生态建设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组织全县造林绿化、退耕还林、防沙治沙、防治水土流失、应对气候变化等工作，组织沙尘暴灾害预测预报和应急处置。加强森林资源保护管理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完成省市下达和县委县政府制定的造林任务及全县森林覆盖率考核目标。有效改善生态环境。</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、造林绿化</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组织、指导全县开展造林绿化工作，指导义务植树和社会造林。</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增加有林地面积，提高全县绿化水平和森林覆盖率，改善生态环境。</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造林绿化面积</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二、社会保险政策实施及管理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制定我县养老、医疗、失业、工伤、生育保险实施措施并推动落实。同时，对全县社保基金征缴、支付、管理进行监管。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全面开展参保登记，扩大各项保险的覆盖面，及时足额落实社会保险待遇。</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、养老保险政策实施及管理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落实职工基本养老保险政策、城乡居民养老保险政策和机关事业单位人员养老保险制度改革配套政策。</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完成养老保险扩面征缴任务，确保养老金按时足额发放，防范基金风险，确保参保人员权益。</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养老金征缴任务完成率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三、双拥优抚安置管理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指导全县拥军优属活动。组织对优抚对象的优待、抚恤的政策落实，负责全县转业士官、退役士兵及军队离退休干部、退休士官和军队无军籍退休退职职工接收工作。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优抚对象的生活、住房、医疗困难，做好义务兵家庭优待和烈士褒扬工作。推行阳光安置，保障退役士兵合法权益；加强职业教育和技能培训，提高退役士兵参与社会竞争能力；按时足额发放各类经济补助。做好军队离退休干部、退休士官和军队无军籍退休退职职工接收安置工作，全面落实军休干部的政治和生活待遇。</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、优待抚恤</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负责全县优抚对象优待、抚恤工作；负责优抚对象数据更新管理；承担优抚对象巡诊、残疾军人康复辅助器械配备工作。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有效引导群众自觉实行计划生育，加强计划生育家庭的发展能力，提高计划生育家庭的凝聚力及成员幸福感。</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优抚对象抚恤和生活补助足额兑现率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99%</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试点、示范区域村庄垃圾收集、处理率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计划生育家庭特别扶助政策落实率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农村部分计划生育家庭奖励扶助政策落实率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四、文化政务管理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负责系统综合业务管理和机关综合事务管理。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确保各项业务工作谋划到位、顺利开展。保障机关工作正常高效运转。</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文化管理和发展硬件、软件水平；加强人才引进、培养和文化队伍建设，加强艺术教育建设；加快文化科研和信息化建设；筹备召开全县文化工作会议和一般性专项会议；不断提升工作的规范化水平；保障机关运转，努力改善机关形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保障机关工作正常高效运转。</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、财政收入征收管理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贯彻国家税收政策，负责制定全市财政和预算收入计划，管理和监督各项财政收入；负责政府非税收入管理，按规定管理行政事业性收费、政府性基金及其他非税收入；管理财政票据。</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按规定管理行政事业性收费、政府性基金及其他非税收入；管理财政票据。</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缴存率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五、农业政务管理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17.04</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开展农业宣传，推动农业政策落实。推动各项农业工作的开展。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保障各项农业工作的正常运行</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17.04</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调研提出规划和政策建议，工作部署、协调推动、普查统计、督促指导、对外合作、行政审批、业务监管及</w:t>
            </w:r>
            <w:r>
              <w:rPr>
                <w:rFonts w:hint="eastAsia" w:ascii="方正书宋_GBK" w:eastAsia="方正书宋_GBK"/>
                <w:lang w:eastAsia="zh-CN"/>
              </w:rPr>
              <w:t>县委、县政府</w:t>
            </w:r>
            <w:r>
              <w:rPr>
                <w:rFonts w:hint="eastAsia" w:ascii="方正书宋_GBK" w:eastAsia="方正书宋_GBK"/>
              </w:rPr>
              <w:t>交办的其他事项等行政管理事项。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依法做好行政审批和业务监管事项，完成县委、县政府并办事项</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加强机关事务性管理，开展机关自身能力建设。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编制年度本级公共财政预算。</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全面、合理性</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、预算执行管理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本级支出预算指标登记与核算，预算单位资金垫付、系统内划转等事项审批，预算资金审核拨付与监管；按旬、月汇总统计全市预算执行情况，提交分析报告；财政经济形势分析预测，提供预算执行信息及分析资料。</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预算资金审核拨付与监管。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预算收支登记准确性、规范性，资金拨付及时性。</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、决算管理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编制乡镇本级财政总决算，汇总编报全市财政总决算，汇总编报社保基金决算；编制市本级部门决算，汇总编报全市部门决算，提交并按程序审批报送财政总决算报告和部门决算报告，组织市直部门决算批复。</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编制乡镇本级财政总决算。</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全面、合理性</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六、综合业务、事务管理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10142.44</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紧紧围绕县政府中心工作，积极协调县领导谋大事，解难事，不断提高参政水平，努力为领导提供服务层次和优质服务。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服务领导和机关保障有力为目标，增强优质后勤管理水平，通过加强公车管理，降低运行成本，为创建节约型机关打下了良好的基础。采取保障县政府领导和机关工作办公环境的措施，提升服务管理水平，保障县领导和机关工作的正常运转。及时了解国内外形势、党和国家的方针政策以及上级重要部署和要求，及时为老干部提供优质高效服务。</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10142.44</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助县政府领导组织起草或审核以县政府、县政府办公室名义发布的公文；办理县政府各部门和乡镇报送的文电；对县政府部门间出现的争议问题提出处理意见；组织起草县政府领导重要讲话及其他重要文稿；组织专题调研；承办县政府领导交办的其他事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采取保障县政府领导和机关工作办公环境的措施，提升了服务管理水平，保障了县领导和机关工作的正常运转。</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七、政府专项工作服务与管理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354.48</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政府采购、农村综合改革、政府债务、综合治税、地下水超采、政府购买服务、规范津补贴等政府专项工作的服务与管理。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负责指导和推动村级公益事业建设一事一议财政奖补、农村公共服务运行维护机制建设试点日常工作。</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、农村综合改革</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354.48</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负责指导和推动村级公益事业建设一事一议财政奖补、农村公共服务运行维护机制建设试点、化解乡村公益性债务等工作，承办市农村综合改革领导小组的日常工作。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指导和推动村级公益事业建设一事一议财政奖补、农村公共服务运行维护机制建设试点、化解乡村公益性债务等工作。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管理的规范性，资金拨付的及时性</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八、财政政务管理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负责财政系统综合业务管理和机关综合事务管理。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贯彻实施国家会计法律、规章、制度和会计准则，并对执行情况进行监督检查。</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会议组织管理、信息化建设与维护、机关财务和资产管理、标准化建设、基建及维修、大型设备购置、人事管理及干部教育培训、机关党委工作、老干部工作等。负责直属事业单位管理工作。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信息化建设与维护、机关财务和资产管理。</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全面、准确性</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bl>
    <w:p>
      <w:pPr>
        <w:spacing w:line="300" w:lineRule="exact"/>
        <w:jc w:val="left"/>
        <w:outlineLvl w:val="0"/>
        <w:sectPr>
          <w:pgSz w:w="16839" w:h="11907" w:orient="landscape"/>
          <w:pgMar w:top="1134" w:right="1134" w:bottom="1134" w:left="1134" w:header="851" w:footer="992" w:gutter="0"/>
          <w:cols w:space="425" w:num="1"/>
          <w:docGrid w:type="lines" w:linePitch="312" w:charSpace="0"/>
        </w:sectPr>
      </w:pPr>
    </w:p>
    <w:bookmarkEnd w:id="0"/>
    <w:p>
      <w:pPr>
        <w:spacing w:line="440" w:lineRule="exact"/>
        <w:ind w:firstLine="640" w:firstLineChars="200"/>
        <w:outlineLvl w:val="0"/>
        <w:rPr>
          <w:rFonts w:ascii="黑体" w:hAnsi="黑体" w:eastAsia="黑体" w:cs="Times New Roman"/>
          <w:sz w:val="32"/>
          <w:szCs w:val="24"/>
        </w:rPr>
      </w:pPr>
      <w:bookmarkStart w:id="2" w:name="_Toc471398468"/>
      <w:r>
        <w:rPr>
          <w:rFonts w:ascii="黑体" w:hAnsi="黑体" w:eastAsia="黑体" w:cs="Times New Roman"/>
          <w:sz w:val="32"/>
          <w:szCs w:val="24"/>
        </w:rPr>
        <w:t>六</w:t>
      </w:r>
      <w:r>
        <w:rPr>
          <w:rFonts w:hint="eastAsia" w:ascii="黑体" w:hAnsi="黑体" w:eastAsia="黑体" w:cs="Times New Roman"/>
          <w:sz w:val="32"/>
          <w:szCs w:val="24"/>
        </w:rPr>
        <w:t>、</w:t>
      </w:r>
      <w:r>
        <w:rPr>
          <w:rFonts w:ascii="黑体" w:hAnsi="黑体" w:eastAsia="黑体" w:cs="Times New Roman"/>
          <w:sz w:val="32"/>
          <w:szCs w:val="24"/>
        </w:rPr>
        <w:t>政府采购预算情况</w:t>
      </w:r>
    </w:p>
    <w:p>
      <w:pPr>
        <w:spacing w:line="440" w:lineRule="exact"/>
        <w:ind w:firstLine="640" w:firstLineChars="200"/>
        <w:outlineLvl w:val="0"/>
        <w:rPr>
          <w:rFonts w:ascii="仿宋" w:hAnsi="仿宋" w:eastAsia="仿宋" w:cs="仿宋"/>
          <w:sz w:val="32"/>
          <w:szCs w:val="24"/>
        </w:rPr>
      </w:pPr>
      <w:r>
        <w:rPr>
          <w:rFonts w:hint="eastAsia" w:ascii="仿宋" w:hAnsi="仿宋" w:eastAsia="仿宋" w:cs="仿宋"/>
          <w:sz w:val="32"/>
          <w:szCs w:val="24"/>
        </w:rPr>
        <w:t>2018年，我单位安排政府采购预算47.82万元。</w:t>
      </w:r>
      <w:bookmarkEnd w:id="2"/>
      <w:r>
        <w:rPr>
          <w:rFonts w:hint="eastAsia" w:ascii="仿宋" w:hAnsi="仿宋" w:eastAsia="仿宋" w:cs="仿宋"/>
          <w:sz w:val="32"/>
          <w:szCs w:val="24"/>
        </w:rPr>
        <w:t>具体内容见下表。</w:t>
      </w:r>
    </w:p>
    <w:p>
      <w:pPr>
        <w:widowControl/>
        <w:spacing w:line="540" w:lineRule="exact"/>
        <w:ind w:firstLine="5619" w:firstLineChars="1749"/>
        <w:rPr>
          <w:rFonts w:ascii="仿宋_GB2312" w:hAnsi="宋体" w:eastAsia="仿宋_GB2312" w:cs="Times New Roman"/>
          <w:b/>
          <w:bCs/>
          <w:kern w:val="0"/>
          <w:sz w:val="32"/>
          <w:szCs w:val="32"/>
        </w:rPr>
      </w:pPr>
      <w:r>
        <w:rPr>
          <w:rFonts w:hint="eastAsia" w:ascii="仿宋_GB2312" w:hAnsi="宋体" w:eastAsia="仿宋_GB2312" w:cs="Times New Roman"/>
          <w:b/>
          <w:bCs/>
          <w:kern w:val="0"/>
          <w:sz w:val="32"/>
          <w:szCs w:val="32"/>
        </w:rPr>
        <w:t>部门政府采购预算</w:t>
      </w:r>
    </w:p>
    <w:tbl>
      <w:tblPr>
        <w:tblStyle w:val="7"/>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1062"/>
        <w:gridCol w:w="885"/>
        <w:gridCol w:w="1394"/>
        <w:gridCol w:w="879"/>
        <w:gridCol w:w="879"/>
        <w:gridCol w:w="902"/>
        <w:gridCol w:w="900"/>
        <w:gridCol w:w="900"/>
        <w:gridCol w:w="900"/>
        <w:gridCol w:w="818"/>
        <w:gridCol w:w="881"/>
        <w:gridCol w:w="885"/>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74" w:type="dxa"/>
            <w:gridSpan w:val="7"/>
            <w:tcBorders>
              <w:top w:val="nil"/>
              <w:left w:val="nil"/>
              <w:bottom w:val="single" w:color="auto" w:sz="4" w:space="0"/>
              <w:right w:val="nil"/>
            </w:tcBorders>
          </w:tcPr>
          <w:p>
            <w:pPr>
              <w:spacing w:line="300" w:lineRule="exact"/>
              <w:jc w:val="left"/>
              <w:rPr>
                <w:rFonts w:ascii="方正小标宋_GBK" w:hAnsi="Times New Roman" w:eastAsia="宋体" w:cs="Times New Roman"/>
                <w:sz w:val="24"/>
                <w:szCs w:val="24"/>
              </w:rPr>
            </w:pPr>
            <w:r>
              <w:rPr>
                <w:rFonts w:hint="eastAsia" w:ascii="方正小标宋_GBK" w:hAnsi="Times New Roman" w:eastAsia="宋体" w:cs="Times New Roman"/>
                <w:sz w:val="24"/>
                <w:szCs w:val="24"/>
              </w:rPr>
              <w:t>806</w:t>
            </w:r>
            <w:r>
              <w:rPr>
                <w:rFonts w:hint="eastAsia" w:ascii="方正小标宋_GBK" w:hAnsi="Calibri" w:eastAsia="宋体" w:cs="Times New Roman"/>
              </w:rPr>
              <w:t>大厂回族自治县</w:t>
            </w:r>
            <w:r>
              <w:rPr>
                <w:rFonts w:hint="eastAsia" w:ascii="方正小标宋_GBK" w:hAnsi="Calibri" w:eastAsia="方正小标宋_GBK" w:cs="Times New Roman"/>
              </w:rPr>
              <w:t>陈府镇人民政府</w:t>
            </w:r>
          </w:p>
        </w:tc>
        <w:tc>
          <w:tcPr>
            <w:tcW w:w="5954" w:type="dxa"/>
            <w:gridSpan w:val="7"/>
            <w:tcBorders>
              <w:top w:val="nil"/>
              <w:left w:val="nil"/>
              <w:bottom w:val="single" w:color="auto" w:sz="4" w:space="0"/>
              <w:right w:val="nil"/>
            </w:tcBorders>
          </w:tcPr>
          <w:p>
            <w:pPr>
              <w:spacing w:line="300" w:lineRule="exact"/>
              <w:jc w:val="right"/>
              <w:rPr>
                <w:rFonts w:ascii="方正书宋_GBK" w:hAnsi="Times New Roman" w:eastAsia="方正书宋_GBK" w:cs="Times New Roman"/>
                <w:sz w:val="24"/>
                <w:szCs w:val="24"/>
              </w:rPr>
            </w:pPr>
            <w:r>
              <w:rPr>
                <w:rFonts w:hint="eastAsia" w:ascii="方正书宋_GBK" w:hAnsi="Times New Roman" w:eastAsia="方正书宋_GBK" w:cs="Times New Roman"/>
                <w:sz w:val="24"/>
                <w:szCs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5" w:type="dxa"/>
            <w:gridSpan w:val="2"/>
            <w:tcBorders>
              <w:top w:val="single" w:color="auto" w:sz="4" w:space="0"/>
            </w:tcBorders>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政府采购项目来源</w:t>
            </w:r>
          </w:p>
        </w:tc>
        <w:tc>
          <w:tcPr>
            <w:tcW w:w="885" w:type="dxa"/>
            <w:vMerge w:val="restart"/>
            <w:tcBorders>
              <w:top w:val="single" w:color="auto" w:sz="4" w:space="0"/>
            </w:tcBorders>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采购物品名称</w:t>
            </w:r>
          </w:p>
        </w:tc>
        <w:tc>
          <w:tcPr>
            <w:tcW w:w="1394" w:type="dxa"/>
            <w:vMerge w:val="restart"/>
            <w:tcBorders>
              <w:top w:val="single" w:color="auto" w:sz="4" w:space="0"/>
            </w:tcBorders>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政府采购目录序号</w:t>
            </w:r>
          </w:p>
        </w:tc>
        <w:tc>
          <w:tcPr>
            <w:tcW w:w="879" w:type="dxa"/>
            <w:vMerge w:val="restart"/>
            <w:tcBorders>
              <w:top w:val="single" w:color="auto" w:sz="4" w:space="0"/>
            </w:tcBorders>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  单位</w:t>
            </w:r>
          </w:p>
        </w:tc>
        <w:tc>
          <w:tcPr>
            <w:tcW w:w="879" w:type="dxa"/>
            <w:vMerge w:val="restart"/>
            <w:tcBorders>
              <w:top w:val="single" w:color="auto" w:sz="4" w:space="0"/>
            </w:tcBorders>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w:t>
            </w:r>
          </w:p>
        </w:tc>
        <w:tc>
          <w:tcPr>
            <w:tcW w:w="902" w:type="dxa"/>
            <w:vMerge w:val="restart"/>
            <w:tcBorders>
              <w:top w:val="single" w:color="auto" w:sz="4" w:space="0"/>
            </w:tcBorders>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单价</w:t>
            </w:r>
          </w:p>
        </w:tc>
        <w:tc>
          <w:tcPr>
            <w:tcW w:w="5954" w:type="dxa"/>
            <w:gridSpan w:val="7"/>
            <w:tcBorders>
              <w:top w:val="single" w:color="auto" w:sz="4" w:space="0"/>
            </w:tcBorders>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项目名称</w:t>
            </w:r>
          </w:p>
        </w:tc>
        <w:tc>
          <w:tcPr>
            <w:tcW w:w="1062"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预算资金</w:t>
            </w:r>
          </w:p>
        </w:tc>
        <w:tc>
          <w:tcPr>
            <w:tcW w:w="885" w:type="dxa"/>
            <w:vMerge w:val="continue"/>
          </w:tcPr>
          <w:p>
            <w:pPr>
              <w:spacing w:line="300" w:lineRule="exact"/>
              <w:jc w:val="left"/>
              <w:outlineLvl w:val="0"/>
              <w:rPr>
                <w:rFonts w:ascii="Times New Roman" w:hAnsi="Times New Roman" w:eastAsia="宋体" w:cs="Times New Roman"/>
                <w:szCs w:val="24"/>
              </w:rPr>
            </w:pPr>
          </w:p>
        </w:tc>
        <w:tc>
          <w:tcPr>
            <w:tcW w:w="1394" w:type="dxa"/>
            <w:vMerge w:val="continue"/>
          </w:tcPr>
          <w:p>
            <w:pPr>
              <w:spacing w:line="300" w:lineRule="exact"/>
              <w:jc w:val="left"/>
              <w:outlineLvl w:val="0"/>
              <w:rPr>
                <w:rFonts w:ascii="Times New Roman" w:hAnsi="Times New Roman" w:eastAsia="宋体" w:cs="Times New Roman"/>
                <w:szCs w:val="24"/>
              </w:rPr>
            </w:pPr>
          </w:p>
        </w:tc>
        <w:tc>
          <w:tcPr>
            <w:tcW w:w="879" w:type="dxa"/>
            <w:vMerge w:val="continue"/>
          </w:tcPr>
          <w:p>
            <w:pPr>
              <w:spacing w:line="300" w:lineRule="exact"/>
              <w:jc w:val="left"/>
              <w:outlineLvl w:val="0"/>
              <w:rPr>
                <w:rFonts w:ascii="Times New Roman" w:hAnsi="Times New Roman" w:eastAsia="宋体" w:cs="Times New Roman"/>
                <w:szCs w:val="24"/>
              </w:rPr>
            </w:pPr>
          </w:p>
        </w:tc>
        <w:tc>
          <w:tcPr>
            <w:tcW w:w="879" w:type="dxa"/>
            <w:vMerge w:val="continue"/>
          </w:tcPr>
          <w:p>
            <w:pPr>
              <w:spacing w:line="300" w:lineRule="exact"/>
              <w:jc w:val="left"/>
              <w:outlineLvl w:val="0"/>
              <w:rPr>
                <w:rFonts w:ascii="Times New Roman" w:hAnsi="Times New Roman" w:eastAsia="宋体" w:cs="Times New Roman"/>
                <w:szCs w:val="24"/>
              </w:rPr>
            </w:pPr>
          </w:p>
        </w:tc>
        <w:tc>
          <w:tcPr>
            <w:tcW w:w="902" w:type="dxa"/>
            <w:vMerge w:val="continue"/>
          </w:tcPr>
          <w:p>
            <w:pPr>
              <w:spacing w:line="300" w:lineRule="exact"/>
              <w:jc w:val="left"/>
              <w:outlineLvl w:val="0"/>
              <w:rPr>
                <w:rFonts w:ascii="Times New Roman" w:hAnsi="Times New Roman" w:eastAsia="宋体" w:cs="Times New Roman"/>
                <w:szCs w:val="24"/>
              </w:rPr>
            </w:pPr>
          </w:p>
        </w:tc>
        <w:tc>
          <w:tcPr>
            <w:tcW w:w="900"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总计</w:t>
            </w:r>
          </w:p>
        </w:tc>
        <w:tc>
          <w:tcPr>
            <w:tcW w:w="4384" w:type="dxa"/>
            <w:gridSpan w:val="5"/>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当年部门预算安排资金</w:t>
            </w:r>
          </w:p>
        </w:tc>
        <w:tc>
          <w:tcPr>
            <w:tcW w:w="670"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其他渠道资金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vMerge w:val="continue"/>
          </w:tcPr>
          <w:p>
            <w:pPr>
              <w:spacing w:line="300" w:lineRule="exact"/>
              <w:jc w:val="left"/>
              <w:outlineLvl w:val="0"/>
              <w:rPr>
                <w:rFonts w:ascii="Times New Roman" w:hAnsi="Times New Roman" w:eastAsia="宋体" w:cs="Times New Roman"/>
                <w:szCs w:val="24"/>
              </w:rPr>
            </w:pPr>
          </w:p>
        </w:tc>
        <w:tc>
          <w:tcPr>
            <w:tcW w:w="1062" w:type="dxa"/>
            <w:vMerge w:val="continue"/>
          </w:tcPr>
          <w:p>
            <w:pPr>
              <w:spacing w:line="300" w:lineRule="exact"/>
              <w:jc w:val="left"/>
              <w:outlineLvl w:val="0"/>
              <w:rPr>
                <w:rFonts w:ascii="Times New Roman" w:hAnsi="Times New Roman" w:eastAsia="宋体" w:cs="Times New Roman"/>
                <w:szCs w:val="24"/>
              </w:rPr>
            </w:pPr>
          </w:p>
        </w:tc>
        <w:tc>
          <w:tcPr>
            <w:tcW w:w="885" w:type="dxa"/>
            <w:vMerge w:val="continue"/>
          </w:tcPr>
          <w:p>
            <w:pPr>
              <w:spacing w:line="300" w:lineRule="exact"/>
              <w:jc w:val="left"/>
              <w:outlineLvl w:val="0"/>
              <w:rPr>
                <w:rFonts w:ascii="Times New Roman" w:hAnsi="Times New Roman" w:eastAsia="宋体" w:cs="Times New Roman"/>
                <w:szCs w:val="24"/>
              </w:rPr>
            </w:pPr>
          </w:p>
        </w:tc>
        <w:tc>
          <w:tcPr>
            <w:tcW w:w="1394" w:type="dxa"/>
            <w:vMerge w:val="continue"/>
          </w:tcPr>
          <w:p>
            <w:pPr>
              <w:spacing w:line="300" w:lineRule="exact"/>
              <w:jc w:val="left"/>
              <w:outlineLvl w:val="0"/>
              <w:rPr>
                <w:rFonts w:ascii="Times New Roman" w:hAnsi="Times New Roman" w:eastAsia="宋体" w:cs="Times New Roman"/>
                <w:szCs w:val="24"/>
              </w:rPr>
            </w:pPr>
          </w:p>
        </w:tc>
        <w:tc>
          <w:tcPr>
            <w:tcW w:w="879" w:type="dxa"/>
            <w:vMerge w:val="continue"/>
          </w:tcPr>
          <w:p>
            <w:pPr>
              <w:spacing w:line="300" w:lineRule="exact"/>
              <w:jc w:val="left"/>
              <w:outlineLvl w:val="0"/>
              <w:rPr>
                <w:rFonts w:ascii="Times New Roman" w:hAnsi="Times New Roman" w:eastAsia="宋体" w:cs="Times New Roman"/>
                <w:szCs w:val="24"/>
              </w:rPr>
            </w:pPr>
          </w:p>
        </w:tc>
        <w:tc>
          <w:tcPr>
            <w:tcW w:w="879" w:type="dxa"/>
            <w:vMerge w:val="continue"/>
          </w:tcPr>
          <w:p>
            <w:pPr>
              <w:spacing w:line="300" w:lineRule="exact"/>
              <w:jc w:val="left"/>
              <w:outlineLvl w:val="0"/>
              <w:rPr>
                <w:rFonts w:ascii="Times New Roman" w:hAnsi="Times New Roman" w:eastAsia="宋体" w:cs="Times New Roman"/>
                <w:szCs w:val="24"/>
              </w:rPr>
            </w:pPr>
          </w:p>
        </w:tc>
        <w:tc>
          <w:tcPr>
            <w:tcW w:w="902" w:type="dxa"/>
            <w:vMerge w:val="continue"/>
          </w:tcPr>
          <w:p>
            <w:pPr>
              <w:spacing w:line="300" w:lineRule="exact"/>
              <w:jc w:val="left"/>
              <w:outlineLvl w:val="0"/>
              <w:rPr>
                <w:rFonts w:ascii="Times New Roman" w:hAnsi="Times New Roman" w:eastAsia="宋体" w:cs="Times New Roman"/>
                <w:szCs w:val="24"/>
              </w:rPr>
            </w:pPr>
          </w:p>
        </w:tc>
        <w:tc>
          <w:tcPr>
            <w:tcW w:w="900" w:type="dxa"/>
            <w:vMerge w:val="continue"/>
          </w:tcPr>
          <w:p>
            <w:pPr>
              <w:spacing w:line="300" w:lineRule="exact"/>
              <w:jc w:val="left"/>
              <w:outlineLvl w:val="0"/>
              <w:rPr>
                <w:rFonts w:ascii="Times New Roman" w:hAnsi="Times New Roman" w:eastAsia="宋体" w:cs="Times New Roman"/>
                <w:szCs w:val="24"/>
              </w:rPr>
            </w:pPr>
          </w:p>
        </w:tc>
        <w:tc>
          <w:tcPr>
            <w:tcW w:w="900" w:type="dxa"/>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合计</w:t>
            </w:r>
          </w:p>
        </w:tc>
        <w:tc>
          <w:tcPr>
            <w:tcW w:w="900" w:type="dxa"/>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一般公共预算拨款</w:t>
            </w:r>
          </w:p>
        </w:tc>
        <w:tc>
          <w:tcPr>
            <w:tcW w:w="818" w:type="dxa"/>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基金预算拨款</w:t>
            </w:r>
          </w:p>
        </w:tc>
        <w:tc>
          <w:tcPr>
            <w:tcW w:w="881" w:type="dxa"/>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财政专户核拨</w:t>
            </w:r>
          </w:p>
        </w:tc>
        <w:tc>
          <w:tcPr>
            <w:tcW w:w="885" w:type="dxa"/>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其他来源收入</w:t>
            </w:r>
          </w:p>
        </w:tc>
        <w:tc>
          <w:tcPr>
            <w:tcW w:w="670" w:type="dxa"/>
            <w:vMerge w:val="continue"/>
          </w:tcPr>
          <w:p>
            <w:pPr>
              <w:spacing w:line="300" w:lineRule="exact"/>
              <w:jc w:val="left"/>
              <w:outlineLvl w:val="0"/>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373" w:type="dxa"/>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　计</w:t>
            </w:r>
          </w:p>
        </w:tc>
        <w:tc>
          <w:tcPr>
            <w:tcW w:w="1062" w:type="dxa"/>
          </w:tcPr>
          <w:p>
            <w:pPr>
              <w:spacing w:line="300" w:lineRule="exact"/>
              <w:ind w:right="105"/>
              <w:jc w:val="right"/>
              <w:rPr>
                <w:rFonts w:ascii="方正书宋_GBK" w:hAnsi="Times New Roman" w:eastAsia="宋体" w:cs="Times New Roman"/>
                <w:b/>
                <w:szCs w:val="24"/>
              </w:rPr>
            </w:pPr>
            <w:r>
              <w:rPr>
                <w:rFonts w:hint="eastAsia" w:ascii="方正书宋_GBK" w:hAnsi="Times New Roman" w:eastAsia="宋体" w:cs="Times New Roman"/>
                <w:b/>
                <w:szCs w:val="24"/>
              </w:rPr>
              <w:t>47.82</w:t>
            </w:r>
          </w:p>
        </w:tc>
        <w:tc>
          <w:tcPr>
            <w:tcW w:w="885" w:type="dxa"/>
          </w:tcPr>
          <w:p>
            <w:pPr>
              <w:spacing w:line="300" w:lineRule="exact"/>
              <w:jc w:val="left"/>
              <w:rPr>
                <w:rFonts w:ascii="方正书宋_GBK" w:hAnsi="Times New Roman" w:eastAsia="方正书宋_GBK" w:cs="Times New Roman"/>
                <w:b/>
                <w:szCs w:val="24"/>
              </w:rPr>
            </w:pPr>
          </w:p>
        </w:tc>
        <w:tc>
          <w:tcPr>
            <w:tcW w:w="1394" w:type="dxa"/>
          </w:tcPr>
          <w:p>
            <w:pPr>
              <w:spacing w:line="300" w:lineRule="exact"/>
              <w:jc w:val="left"/>
              <w:rPr>
                <w:rFonts w:ascii="方正书宋_GBK" w:hAnsi="Times New Roman" w:eastAsia="方正书宋_GBK" w:cs="Times New Roman"/>
                <w:b/>
                <w:szCs w:val="24"/>
              </w:rPr>
            </w:pPr>
          </w:p>
        </w:tc>
        <w:tc>
          <w:tcPr>
            <w:tcW w:w="879" w:type="dxa"/>
          </w:tcPr>
          <w:p>
            <w:pPr>
              <w:spacing w:line="300" w:lineRule="exact"/>
              <w:jc w:val="left"/>
              <w:rPr>
                <w:rFonts w:ascii="方正书宋_GBK" w:hAnsi="Times New Roman" w:eastAsia="方正书宋_GBK" w:cs="Times New Roman"/>
                <w:b/>
                <w:szCs w:val="24"/>
              </w:rPr>
            </w:pPr>
          </w:p>
        </w:tc>
        <w:tc>
          <w:tcPr>
            <w:tcW w:w="879" w:type="dxa"/>
          </w:tcPr>
          <w:p>
            <w:pPr>
              <w:spacing w:line="300" w:lineRule="exact"/>
              <w:jc w:val="right"/>
              <w:rPr>
                <w:rFonts w:ascii="方正书宋_GBK" w:hAnsi="Times New Roman" w:eastAsia="方正书宋_GBK" w:cs="Times New Roman"/>
                <w:b/>
                <w:szCs w:val="24"/>
              </w:rPr>
            </w:pPr>
          </w:p>
        </w:tc>
        <w:tc>
          <w:tcPr>
            <w:tcW w:w="902" w:type="dxa"/>
          </w:tcPr>
          <w:p>
            <w:pPr>
              <w:spacing w:line="300" w:lineRule="exact"/>
              <w:jc w:val="right"/>
              <w:rPr>
                <w:rFonts w:ascii="方正书宋_GBK" w:hAnsi="Times New Roman" w:eastAsia="方正书宋_GBK" w:cs="Times New Roman"/>
                <w:b/>
                <w:szCs w:val="24"/>
              </w:rPr>
            </w:pPr>
          </w:p>
        </w:tc>
        <w:tc>
          <w:tcPr>
            <w:tcW w:w="900" w:type="dxa"/>
          </w:tcPr>
          <w:p>
            <w:pPr>
              <w:spacing w:line="300" w:lineRule="exact"/>
              <w:jc w:val="right"/>
              <w:rPr>
                <w:rFonts w:ascii="方正书宋_GBK" w:hAnsi="Times New Roman" w:eastAsia="方正书宋_GBK" w:cs="Times New Roman"/>
                <w:b/>
                <w:szCs w:val="24"/>
              </w:rPr>
            </w:pPr>
            <w:r>
              <w:rPr>
                <w:rFonts w:hint="eastAsia" w:ascii="方正书宋_GBK" w:hAnsi="Times New Roman" w:eastAsia="宋体" w:cs="Times New Roman"/>
                <w:b/>
                <w:szCs w:val="24"/>
              </w:rPr>
              <w:t>47.82</w:t>
            </w:r>
          </w:p>
        </w:tc>
        <w:tc>
          <w:tcPr>
            <w:tcW w:w="900" w:type="dxa"/>
          </w:tcPr>
          <w:p>
            <w:pPr>
              <w:spacing w:line="300" w:lineRule="exact"/>
              <w:jc w:val="right"/>
              <w:rPr>
                <w:rFonts w:ascii="方正书宋_GBK" w:hAnsi="Times New Roman" w:eastAsia="方正书宋_GBK" w:cs="Times New Roman"/>
                <w:b/>
                <w:szCs w:val="24"/>
              </w:rPr>
            </w:pPr>
            <w:r>
              <w:rPr>
                <w:rFonts w:hint="eastAsia" w:ascii="方正书宋_GBK" w:hAnsi="Times New Roman" w:eastAsia="宋体" w:cs="Times New Roman"/>
                <w:b/>
                <w:szCs w:val="24"/>
              </w:rPr>
              <w:t>47.82</w:t>
            </w:r>
          </w:p>
        </w:tc>
        <w:tc>
          <w:tcPr>
            <w:tcW w:w="900" w:type="dxa"/>
          </w:tcPr>
          <w:p>
            <w:pPr>
              <w:spacing w:line="300" w:lineRule="exact"/>
              <w:jc w:val="right"/>
              <w:rPr>
                <w:rFonts w:ascii="方正书宋_GBK" w:hAnsi="Times New Roman" w:eastAsia="方正书宋_GBK" w:cs="Times New Roman"/>
                <w:b/>
                <w:szCs w:val="24"/>
              </w:rPr>
            </w:pPr>
            <w:r>
              <w:rPr>
                <w:rFonts w:hint="eastAsia" w:ascii="方正书宋_GBK" w:hAnsi="Times New Roman" w:eastAsia="宋体" w:cs="Times New Roman"/>
                <w:b/>
                <w:szCs w:val="24"/>
              </w:rPr>
              <w:t>47.82</w:t>
            </w:r>
          </w:p>
        </w:tc>
        <w:tc>
          <w:tcPr>
            <w:tcW w:w="818" w:type="dxa"/>
          </w:tcPr>
          <w:p>
            <w:pPr>
              <w:spacing w:line="300" w:lineRule="exact"/>
              <w:jc w:val="right"/>
              <w:rPr>
                <w:rFonts w:ascii="方正书宋_GBK" w:hAnsi="Times New Roman" w:eastAsia="方正书宋_GBK" w:cs="Times New Roman"/>
                <w:b/>
                <w:szCs w:val="24"/>
              </w:rPr>
            </w:pPr>
          </w:p>
        </w:tc>
        <w:tc>
          <w:tcPr>
            <w:tcW w:w="881" w:type="dxa"/>
          </w:tcPr>
          <w:p>
            <w:pPr>
              <w:spacing w:line="300" w:lineRule="exact"/>
              <w:jc w:val="right"/>
              <w:rPr>
                <w:rFonts w:ascii="方正书宋_GBK" w:hAnsi="Times New Roman" w:eastAsia="方正书宋_GBK" w:cs="Times New Roman"/>
                <w:b/>
                <w:szCs w:val="24"/>
              </w:rPr>
            </w:pPr>
          </w:p>
        </w:tc>
        <w:tc>
          <w:tcPr>
            <w:tcW w:w="885" w:type="dxa"/>
          </w:tcPr>
          <w:p>
            <w:pPr>
              <w:spacing w:line="300" w:lineRule="exact"/>
              <w:jc w:val="right"/>
              <w:rPr>
                <w:rFonts w:ascii="方正书宋_GBK" w:hAnsi="Times New Roman" w:eastAsia="方正书宋_GBK" w:cs="Times New Roman"/>
                <w:b/>
                <w:szCs w:val="24"/>
              </w:rPr>
            </w:pPr>
          </w:p>
        </w:tc>
        <w:tc>
          <w:tcPr>
            <w:tcW w:w="670" w:type="dxa"/>
          </w:tcPr>
          <w:p>
            <w:pPr>
              <w:spacing w:line="300" w:lineRule="exact"/>
              <w:jc w:val="right"/>
              <w:rPr>
                <w:rFonts w:ascii="方正书宋_GBK" w:hAnsi="Times New Roman" w:eastAsia="方正书宋_GBK" w:cs="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373" w:type="dxa"/>
            <w:vAlign w:val="center"/>
          </w:tcPr>
          <w:p>
            <w:pPr>
              <w:rPr>
                <w:rFonts w:ascii="宋体" w:hAnsi="宋体" w:eastAsia="宋体" w:cs="宋体"/>
                <w:sz w:val="18"/>
                <w:szCs w:val="18"/>
              </w:rPr>
            </w:pPr>
            <w:r>
              <w:rPr>
                <w:rFonts w:hint="eastAsia" w:ascii="Calibri" w:hAnsi="Calibri" w:eastAsia="宋体" w:cs="Times New Roman"/>
                <w:sz w:val="18"/>
                <w:szCs w:val="18"/>
              </w:rPr>
              <w:t>办公配套设施改造修缮费</w:t>
            </w:r>
          </w:p>
        </w:tc>
        <w:tc>
          <w:tcPr>
            <w:tcW w:w="1062" w:type="dxa"/>
            <w:vAlign w:val="center"/>
          </w:tcPr>
          <w:p>
            <w:pPr>
              <w:spacing w:line="300" w:lineRule="exact"/>
              <w:jc w:val="center"/>
              <w:rPr>
                <w:rFonts w:ascii="方正书宋_GBK" w:hAnsi="Times New Roman" w:eastAsia="宋体" w:cs="Times New Roman"/>
                <w:szCs w:val="24"/>
              </w:rPr>
            </w:pPr>
            <w:r>
              <w:rPr>
                <w:rFonts w:hint="eastAsia" w:ascii="方正书宋_GBK" w:hAnsi="Times New Roman" w:eastAsia="宋体" w:cs="Times New Roman"/>
                <w:b/>
                <w:szCs w:val="24"/>
              </w:rPr>
              <w:t>47.82</w:t>
            </w:r>
          </w:p>
        </w:tc>
        <w:tc>
          <w:tcPr>
            <w:tcW w:w="885" w:type="dxa"/>
            <w:vAlign w:val="center"/>
          </w:tcPr>
          <w:p>
            <w:pPr>
              <w:spacing w:line="300" w:lineRule="exact"/>
              <w:jc w:val="center"/>
              <w:rPr>
                <w:rFonts w:ascii="方正书宋_GBK" w:hAnsi="Times New Roman" w:eastAsia="方正书宋_GBK" w:cs="Times New Roman"/>
                <w:b/>
                <w:szCs w:val="24"/>
              </w:rPr>
            </w:pPr>
            <w:r>
              <w:rPr>
                <w:rFonts w:hint="eastAsia" w:ascii="方正书宋_GBK" w:hAnsi="Calibri" w:eastAsia="方正书宋_GBK" w:cs="Times New Roman"/>
              </w:rPr>
              <w:t>修缮工程</w:t>
            </w:r>
          </w:p>
        </w:tc>
        <w:tc>
          <w:tcPr>
            <w:tcW w:w="1394" w:type="dxa"/>
            <w:vAlign w:val="center"/>
          </w:tcPr>
          <w:p>
            <w:pPr>
              <w:spacing w:line="300" w:lineRule="exact"/>
              <w:jc w:val="center"/>
              <w:rPr>
                <w:rFonts w:ascii="方正书宋_GBK" w:hAnsi="Times New Roman" w:eastAsia="宋体" w:cs="Times New Roman"/>
                <w:szCs w:val="24"/>
              </w:rPr>
            </w:pPr>
            <w:r>
              <w:rPr>
                <w:rFonts w:hint="eastAsia" w:ascii="方正书宋_GBK" w:hAnsi="Times New Roman" w:eastAsia="宋体" w:cs="Times New Roman"/>
                <w:szCs w:val="24"/>
              </w:rPr>
              <w:t>B08</w:t>
            </w:r>
          </w:p>
        </w:tc>
        <w:tc>
          <w:tcPr>
            <w:tcW w:w="879"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平米</w:t>
            </w:r>
          </w:p>
        </w:tc>
        <w:tc>
          <w:tcPr>
            <w:tcW w:w="879" w:type="dxa"/>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398.50</w:t>
            </w:r>
          </w:p>
        </w:tc>
        <w:tc>
          <w:tcPr>
            <w:tcW w:w="902" w:type="dxa"/>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0.12</w:t>
            </w:r>
          </w:p>
        </w:tc>
        <w:tc>
          <w:tcPr>
            <w:tcW w:w="900" w:type="dxa"/>
            <w:vAlign w:val="center"/>
          </w:tcPr>
          <w:p>
            <w:pPr>
              <w:spacing w:line="300" w:lineRule="exact"/>
              <w:jc w:val="center"/>
              <w:rPr>
                <w:rFonts w:ascii="方正书宋_GBK" w:hAnsi="Times New Roman" w:eastAsia="宋体" w:cs="Times New Roman"/>
                <w:szCs w:val="24"/>
              </w:rPr>
            </w:pPr>
            <w:r>
              <w:rPr>
                <w:rFonts w:hint="eastAsia" w:ascii="方正书宋_GBK" w:hAnsi="Times New Roman" w:eastAsia="宋体" w:cs="Times New Roman"/>
                <w:b/>
                <w:szCs w:val="24"/>
              </w:rPr>
              <w:t>47.82</w:t>
            </w:r>
          </w:p>
        </w:tc>
        <w:tc>
          <w:tcPr>
            <w:tcW w:w="900" w:type="dxa"/>
            <w:vAlign w:val="center"/>
          </w:tcPr>
          <w:p>
            <w:pPr>
              <w:spacing w:line="300" w:lineRule="exact"/>
              <w:jc w:val="center"/>
              <w:rPr>
                <w:rFonts w:ascii="方正书宋_GBK" w:hAnsi="Times New Roman" w:eastAsia="宋体" w:cs="Times New Roman"/>
                <w:szCs w:val="24"/>
              </w:rPr>
            </w:pPr>
            <w:r>
              <w:rPr>
                <w:rFonts w:hint="eastAsia" w:ascii="方正书宋_GBK" w:hAnsi="Times New Roman" w:eastAsia="宋体" w:cs="Times New Roman"/>
                <w:b/>
                <w:szCs w:val="24"/>
              </w:rPr>
              <w:t>47.82</w:t>
            </w:r>
          </w:p>
        </w:tc>
        <w:tc>
          <w:tcPr>
            <w:tcW w:w="900" w:type="dxa"/>
            <w:vAlign w:val="center"/>
          </w:tcPr>
          <w:p>
            <w:pPr>
              <w:spacing w:line="300" w:lineRule="exact"/>
              <w:jc w:val="center"/>
              <w:rPr>
                <w:rFonts w:ascii="方正书宋_GBK" w:hAnsi="Times New Roman" w:eastAsia="宋体" w:cs="Times New Roman"/>
                <w:szCs w:val="24"/>
              </w:rPr>
            </w:pPr>
            <w:r>
              <w:rPr>
                <w:rFonts w:hint="eastAsia" w:ascii="方正书宋_GBK" w:hAnsi="Times New Roman" w:eastAsia="宋体" w:cs="Times New Roman"/>
                <w:b/>
                <w:szCs w:val="24"/>
              </w:rPr>
              <w:t>47.82</w:t>
            </w:r>
          </w:p>
        </w:tc>
        <w:tc>
          <w:tcPr>
            <w:tcW w:w="818" w:type="dxa"/>
            <w:vAlign w:val="center"/>
          </w:tcPr>
          <w:p>
            <w:pPr>
              <w:spacing w:line="300" w:lineRule="exact"/>
              <w:jc w:val="center"/>
              <w:rPr>
                <w:rFonts w:ascii="方正书宋_GBK" w:hAnsi="Times New Roman" w:eastAsia="方正书宋_GBK" w:cs="Times New Roman"/>
                <w:b/>
                <w:szCs w:val="24"/>
              </w:rPr>
            </w:pPr>
          </w:p>
        </w:tc>
        <w:tc>
          <w:tcPr>
            <w:tcW w:w="881" w:type="dxa"/>
            <w:vAlign w:val="center"/>
          </w:tcPr>
          <w:p>
            <w:pPr>
              <w:spacing w:line="300" w:lineRule="exact"/>
              <w:jc w:val="center"/>
              <w:rPr>
                <w:rFonts w:ascii="方正书宋_GBK" w:hAnsi="Times New Roman" w:eastAsia="方正书宋_GBK" w:cs="Times New Roman"/>
                <w:b/>
                <w:szCs w:val="24"/>
              </w:rPr>
            </w:pPr>
          </w:p>
        </w:tc>
        <w:tc>
          <w:tcPr>
            <w:tcW w:w="885" w:type="dxa"/>
            <w:vAlign w:val="center"/>
          </w:tcPr>
          <w:p>
            <w:pPr>
              <w:spacing w:line="300" w:lineRule="exact"/>
              <w:jc w:val="center"/>
              <w:rPr>
                <w:rFonts w:ascii="方正书宋_GBK" w:hAnsi="Times New Roman" w:eastAsia="方正书宋_GBK" w:cs="Times New Roman"/>
                <w:b/>
                <w:szCs w:val="24"/>
              </w:rPr>
            </w:pPr>
          </w:p>
        </w:tc>
        <w:tc>
          <w:tcPr>
            <w:tcW w:w="670" w:type="dxa"/>
            <w:vAlign w:val="center"/>
          </w:tcPr>
          <w:p>
            <w:pPr>
              <w:spacing w:line="300" w:lineRule="exact"/>
              <w:jc w:val="center"/>
              <w:rPr>
                <w:rFonts w:ascii="方正书宋_GBK" w:hAnsi="Times New Roman" w:eastAsia="方正书宋_GBK" w:cs="Times New Roman"/>
                <w:b/>
                <w:szCs w:val="24"/>
              </w:rPr>
            </w:pPr>
          </w:p>
        </w:tc>
      </w:tr>
    </w:tbl>
    <w:p>
      <w:pPr>
        <w:spacing w:line="440" w:lineRule="exact"/>
        <w:ind w:firstLine="640" w:firstLineChars="200"/>
        <w:outlineLvl w:val="0"/>
        <w:rPr>
          <w:rFonts w:ascii="仿宋" w:hAnsi="仿宋" w:eastAsia="仿宋" w:cs="仿宋"/>
          <w:sz w:val="32"/>
          <w:szCs w:val="24"/>
        </w:rPr>
      </w:pPr>
      <w:r>
        <w:rPr>
          <w:rFonts w:hint="eastAsia" w:ascii="黑体" w:hAnsi="黑体" w:eastAsia="黑体" w:cs="Times New Roman"/>
          <w:sz w:val="32"/>
          <w:szCs w:val="32"/>
        </w:rPr>
        <w:t>七、国有资产信息</w:t>
      </w:r>
    </w:p>
    <w:p>
      <w:pPr>
        <w:spacing w:line="440" w:lineRule="exact"/>
        <w:rPr>
          <w:rFonts w:ascii="仿宋_GB2312" w:hAnsi="黑体" w:eastAsia="仿宋_GB2312" w:cs="Times New Roman"/>
          <w:sz w:val="32"/>
          <w:szCs w:val="32"/>
        </w:rPr>
      </w:pPr>
      <w:r>
        <w:rPr>
          <w:rFonts w:hint="eastAsia" w:ascii="仿宋" w:hAnsi="仿宋" w:eastAsia="仿宋" w:cs="仿宋"/>
          <w:sz w:val="32"/>
          <w:szCs w:val="32"/>
        </w:rPr>
        <w:t xml:space="preserve">    大厂回族自治县陈府镇</w:t>
      </w:r>
      <w:r>
        <w:rPr>
          <w:rFonts w:hint="eastAsia" w:ascii="仿宋" w:hAnsi="仿宋" w:eastAsia="仿宋"/>
          <w:sz w:val="32"/>
          <w:szCs w:val="32"/>
        </w:rPr>
        <w:t>上年末固定资产金额为143.11万元，其中办公用房12.01万元、公车18.26万元、其他固定资产112.84万元。本年度我单位拟购置固定资产47.82万元，主要为办公配套设施改造修缮费，已列入政府采购预算。</w:t>
      </w:r>
      <w:r>
        <w:rPr>
          <w:rFonts w:hint="eastAsia" w:ascii="仿宋_GB2312" w:hAnsi="黑体" w:eastAsia="仿宋_GB2312" w:cs="Times New Roman"/>
          <w:sz w:val="32"/>
          <w:szCs w:val="32"/>
        </w:rPr>
        <w:t>详见下表。</w:t>
      </w:r>
    </w:p>
    <w:tbl>
      <w:tblPr>
        <w:tblStyle w:val="6"/>
        <w:tblW w:w="8911" w:type="dxa"/>
        <w:jc w:val="center"/>
        <w:tblLayout w:type="fixed"/>
        <w:tblCellMar>
          <w:top w:w="0" w:type="dxa"/>
          <w:left w:w="108" w:type="dxa"/>
          <w:bottom w:w="0" w:type="dxa"/>
          <w:right w:w="108" w:type="dxa"/>
        </w:tblCellMar>
      </w:tblPr>
      <w:tblGrid>
        <w:gridCol w:w="4040"/>
        <w:gridCol w:w="835"/>
        <w:gridCol w:w="4036"/>
      </w:tblGrid>
      <w:tr>
        <w:tblPrEx>
          <w:tblCellMar>
            <w:top w:w="0" w:type="dxa"/>
            <w:left w:w="108" w:type="dxa"/>
            <w:bottom w:w="0" w:type="dxa"/>
            <w:right w:w="108" w:type="dxa"/>
          </w:tblCellMar>
        </w:tblPrEx>
        <w:trPr>
          <w:trHeight w:val="1161" w:hRule="atLeast"/>
          <w:jc w:val="center"/>
        </w:trPr>
        <w:tc>
          <w:tcPr>
            <w:tcW w:w="8911" w:type="dxa"/>
            <w:gridSpan w:val="3"/>
            <w:tcBorders>
              <w:top w:val="nil"/>
              <w:left w:val="nil"/>
              <w:bottom w:val="nil"/>
              <w:right w:val="nil"/>
            </w:tcBorders>
            <w:shd w:val="clear" w:color="auto" w:fill="auto"/>
            <w:vAlign w:val="center"/>
          </w:tcPr>
          <w:p>
            <w:pPr>
              <w:widowControl/>
              <w:spacing w:line="44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jc w:val="center"/>
        </w:trPr>
        <w:tc>
          <w:tcPr>
            <w:tcW w:w="4875" w:type="dxa"/>
            <w:gridSpan w:val="2"/>
            <w:tcBorders>
              <w:top w:val="nil"/>
              <w:left w:val="nil"/>
              <w:bottom w:val="nil"/>
              <w:right w:val="nil"/>
            </w:tcBorders>
            <w:shd w:val="clear" w:color="auto" w:fill="auto"/>
            <w:vAlign w:val="center"/>
          </w:tcPr>
          <w:p>
            <w:pPr>
              <w:widowControl/>
              <w:spacing w:line="440" w:lineRule="exact"/>
              <w:jc w:val="left"/>
              <w:rPr>
                <w:rFonts w:ascii="宋体" w:hAnsi="宋体" w:eastAsia="宋体" w:cs="宋体"/>
                <w:kern w:val="0"/>
                <w:sz w:val="22"/>
              </w:rPr>
            </w:pPr>
            <w:r>
              <w:rPr>
                <w:rFonts w:hint="eastAsia" w:ascii="宋体" w:hAnsi="宋体" w:eastAsia="宋体" w:cs="宋体"/>
                <w:kern w:val="0"/>
                <w:sz w:val="22"/>
              </w:rPr>
              <w:t>编制部门：806大厂回族自治县陈府镇人民政府</w:t>
            </w:r>
          </w:p>
        </w:tc>
        <w:tc>
          <w:tcPr>
            <w:tcW w:w="4036" w:type="dxa"/>
            <w:tcBorders>
              <w:top w:val="nil"/>
              <w:left w:val="nil"/>
              <w:bottom w:val="nil"/>
              <w:right w:val="nil"/>
            </w:tcBorders>
            <w:shd w:val="clear" w:color="auto" w:fill="auto"/>
            <w:vAlign w:val="center"/>
          </w:tcPr>
          <w:p>
            <w:pPr>
              <w:widowControl/>
              <w:spacing w:line="440" w:lineRule="exact"/>
              <w:ind w:firstLine="550" w:firstLineChars="250"/>
              <w:jc w:val="left"/>
              <w:rPr>
                <w:rFonts w:ascii="宋体" w:hAnsi="宋体" w:eastAsia="宋体" w:cs="宋体"/>
                <w:kern w:val="0"/>
                <w:sz w:val="22"/>
              </w:rPr>
            </w:pPr>
            <w:r>
              <w:rPr>
                <w:rFonts w:hint="eastAsia" w:ascii="宋体" w:hAnsi="宋体" w:eastAsia="宋体" w:cs="宋体"/>
                <w:kern w:val="0"/>
                <w:sz w:val="22"/>
              </w:rPr>
              <w:t xml:space="preserve">截止时间：2017年12月31日  </w:t>
            </w:r>
          </w:p>
        </w:tc>
      </w:tr>
      <w:tr>
        <w:tblPrEx>
          <w:tblCellMar>
            <w:top w:w="0" w:type="dxa"/>
            <w:left w:w="108" w:type="dxa"/>
            <w:bottom w:w="0" w:type="dxa"/>
            <w:right w:w="108" w:type="dxa"/>
          </w:tblCellMar>
        </w:tblPrEx>
        <w:trPr>
          <w:trHeight w:val="381" w:hRule="atLeast"/>
          <w:jc w:val="center"/>
        </w:trPr>
        <w:tc>
          <w:tcPr>
            <w:tcW w:w="4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b/>
                <w:bCs/>
                <w:kern w:val="0"/>
                <w:sz w:val="22"/>
              </w:rPr>
            </w:pPr>
            <w:r>
              <w:rPr>
                <w:rFonts w:hint="eastAsia" w:ascii="宋体" w:hAnsi="宋体" w:eastAsia="宋体" w:cs="宋体"/>
                <w:b/>
                <w:bCs/>
                <w:kern w:val="0"/>
                <w:sz w:val="22"/>
              </w:rPr>
              <w:t>项   目</w:t>
            </w:r>
          </w:p>
        </w:tc>
        <w:tc>
          <w:tcPr>
            <w:tcW w:w="835"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b/>
                <w:bCs/>
                <w:kern w:val="0"/>
                <w:sz w:val="22"/>
              </w:rPr>
            </w:pPr>
            <w:r>
              <w:rPr>
                <w:rFonts w:hint="eastAsia" w:ascii="宋体" w:hAnsi="宋体" w:eastAsia="宋体" w:cs="宋体"/>
                <w:b/>
                <w:bCs/>
                <w:kern w:val="0"/>
                <w:sz w:val="22"/>
              </w:rPr>
              <w:t>数量</w:t>
            </w:r>
          </w:p>
        </w:tc>
        <w:tc>
          <w:tcPr>
            <w:tcW w:w="4036"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360"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r>
              <w:rPr>
                <w:rFonts w:hint="eastAsia" w:ascii="宋体" w:hAnsi="宋体" w:eastAsia="宋体" w:cs="宋体"/>
                <w:kern w:val="0"/>
                <w:sz w:val="22"/>
              </w:rPr>
              <w:t>资产总额</w:t>
            </w:r>
          </w:p>
        </w:tc>
        <w:tc>
          <w:tcPr>
            <w:tcW w:w="8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r>
              <w:rPr>
                <w:rFonts w:hint="eastAsia" w:ascii="宋体" w:hAnsi="宋体" w:eastAsia="宋体" w:cs="宋体"/>
                <w:kern w:val="0"/>
                <w:sz w:val="22"/>
              </w:rPr>
              <w:t>——</w:t>
            </w:r>
          </w:p>
        </w:tc>
        <w:tc>
          <w:tcPr>
            <w:tcW w:w="403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r>
              <w:rPr>
                <w:rFonts w:hint="eastAsia" w:ascii="宋体" w:hAnsi="宋体" w:eastAsia="宋体" w:cs="宋体"/>
                <w:kern w:val="0"/>
                <w:sz w:val="22"/>
              </w:rPr>
              <w:t>143.11</w:t>
            </w:r>
          </w:p>
        </w:tc>
      </w:tr>
      <w:tr>
        <w:tblPrEx>
          <w:tblCellMar>
            <w:top w:w="0" w:type="dxa"/>
            <w:left w:w="108" w:type="dxa"/>
            <w:bottom w:w="0" w:type="dxa"/>
            <w:right w:w="108" w:type="dxa"/>
          </w:tblCellMar>
        </w:tblPrEx>
        <w:trPr>
          <w:trHeight w:val="354"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kern w:val="0"/>
                <w:sz w:val="22"/>
              </w:rPr>
            </w:pPr>
            <w:r>
              <w:rPr>
                <w:rFonts w:hint="eastAsia" w:ascii="宋体" w:hAnsi="宋体" w:eastAsia="宋体" w:cs="宋体"/>
                <w:kern w:val="0"/>
                <w:sz w:val="22"/>
              </w:rPr>
              <w:t>1、房屋（平方米）</w:t>
            </w:r>
          </w:p>
        </w:tc>
        <w:tc>
          <w:tcPr>
            <w:tcW w:w="8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p>
        </w:tc>
        <w:tc>
          <w:tcPr>
            <w:tcW w:w="403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p>
        </w:tc>
      </w:tr>
      <w:tr>
        <w:tblPrEx>
          <w:tblCellMar>
            <w:top w:w="0" w:type="dxa"/>
            <w:left w:w="108" w:type="dxa"/>
            <w:bottom w:w="0" w:type="dxa"/>
            <w:right w:w="108" w:type="dxa"/>
          </w:tblCellMar>
        </w:tblPrEx>
        <w:trPr>
          <w:trHeight w:val="315"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8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r>
              <w:rPr>
                <w:rFonts w:hint="eastAsia" w:ascii="宋体" w:hAnsi="宋体" w:eastAsia="宋体" w:cs="宋体"/>
                <w:kern w:val="0"/>
                <w:sz w:val="22"/>
              </w:rPr>
              <w:t>2430</w:t>
            </w:r>
          </w:p>
        </w:tc>
        <w:tc>
          <w:tcPr>
            <w:tcW w:w="403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r>
              <w:rPr>
                <w:rFonts w:hint="eastAsia" w:ascii="宋体" w:hAnsi="宋体" w:eastAsia="宋体" w:cs="宋体"/>
                <w:kern w:val="0"/>
                <w:sz w:val="22"/>
              </w:rPr>
              <w:t>12.01</w:t>
            </w:r>
          </w:p>
        </w:tc>
      </w:tr>
      <w:tr>
        <w:tblPrEx>
          <w:tblCellMar>
            <w:top w:w="0" w:type="dxa"/>
            <w:left w:w="108" w:type="dxa"/>
            <w:bottom w:w="0" w:type="dxa"/>
            <w:right w:w="108" w:type="dxa"/>
          </w:tblCellMar>
        </w:tblPrEx>
        <w:trPr>
          <w:trHeight w:val="273"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kern w:val="0"/>
                <w:sz w:val="22"/>
              </w:rPr>
            </w:pPr>
            <w:r>
              <w:rPr>
                <w:rFonts w:hint="eastAsia" w:ascii="宋体" w:hAnsi="宋体" w:eastAsia="宋体" w:cs="宋体"/>
                <w:kern w:val="0"/>
                <w:sz w:val="22"/>
              </w:rPr>
              <w:t>2、车辆（台、辆）</w:t>
            </w:r>
          </w:p>
        </w:tc>
        <w:tc>
          <w:tcPr>
            <w:tcW w:w="8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r>
              <w:rPr>
                <w:rFonts w:hint="eastAsia" w:ascii="宋体" w:hAnsi="宋体" w:eastAsia="宋体" w:cs="宋体"/>
                <w:kern w:val="0"/>
                <w:sz w:val="22"/>
              </w:rPr>
              <w:t>3</w:t>
            </w:r>
          </w:p>
        </w:tc>
        <w:tc>
          <w:tcPr>
            <w:tcW w:w="403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r>
              <w:rPr>
                <w:rFonts w:hint="eastAsia" w:ascii="宋体" w:hAnsi="宋体" w:eastAsia="宋体" w:cs="宋体"/>
                <w:kern w:val="0"/>
                <w:sz w:val="22"/>
              </w:rPr>
              <w:t>18.26</w:t>
            </w:r>
          </w:p>
        </w:tc>
      </w:tr>
      <w:tr>
        <w:tblPrEx>
          <w:tblCellMar>
            <w:top w:w="0" w:type="dxa"/>
            <w:left w:w="108" w:type="dxa"/>
            <w:bottom w:w="0" w:type="dxa"/>
            <w:right w:w="108" w:type="dxa"/>
          </w:tblCellMar>
        </w:tblPrEx>
        <w:trPr>
          <w:trHeight w:val="264"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kern w:val="0"/>
                <w:sz w:val="22"/>
              </w:rPr>
            </w:pPr>
            <w:r>
              <w:rPr>
                <w:rFonts w:hint="eastAsia" w:ascii="宋体" w:hAnsi="宋体" w:eastAsia="宋体" w:cs="宋体"/>
                <w:kern w:val="0"/>
                <w:sz w:val="22"/>
              </w:rPr>
              <w:t>3、单价在</w:t>
            </w:r>
            <w:r>
              <w:rPr>
                <w:rFonts w:ascii="宋体" w:hAnsi="宋体" w:eastAsia="宋体" w:cs="宋体"/>
                <w:kern w:val="0"/>
                <w:sz w:val="22"/>
              </w:rPr>
              <w:t>20</w:t>
            </w:r>
            <w:r>
              <w:rPr>
                <w:rFonts w:hint="eastAsia" w:ascii="宋体" w:hAnsi="宋体" w:eastAsia="宋体" w:cs="宋体"/>
                <w:kern w:val="0"/>
                <w:sz w:val="22"/>
              </w:rPr>
              <w:t>万元以上的设备</w:t>
            </w:r>
          </w:p>
        </w:tc>
        <w:tc>
          <w:tcPr>
            <w:tcW w:w="8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p>
        </w:tc>
        <w:tc>
          <w:tcPr>
            <w:tcW w:w="403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p>
        </w:tc>
      </w:tr>
      <w:tr>
        <w:tblPrEx>
          <w:tblCellMar>
            <w:top w:w="0" w:type="dxa"/>
            <w:left w:w="108" w:type="dxa"/>
            <w:bottom w:w="0" w:type="dxa"/>
            <w:right w:w="108" w:type="dxa"/>
          </w:tblCellMar>
        </w:tblPrEx>
        <w:trPr>
          <w:trHeight w:val="228"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kern w:val="0"/>
                <w:sz w:val="22"/>
              </w:rPr>
            </w:pPr>
            <w:r>
              <w:rPr>
                <w:rFonts w:hint="eastAsia" w:ascii="宋体" w:hAnsi="宋体" w:eastAsia="宋体" w:cs="宋体"/>
                <w:kern w:val="0"/>
                <w:sz w:val="22"/>
              </w:rPr>
              <w:t>4、其他固定资产</w:t>
            </w:r>
          </w:p>
        </w:tc>
        <w:tc>
          <w:tcPr>
            <w:tcW w:w="8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r>
              <w:rPr>
                <w:rFonts w:hint="eastAsia" w:ascii="宋体" w:hAnsi="宋体" w:eastAsia="宋体" w:cs="宋体"/>
                <w:kern w:val="0"/>
                <w:sz w:val="22"/>
              </w:rPr>
              <w:t>463</w:t>
            </w:r>
          </w:p>
        </w:tc>
        <w:tc>
          <w:tcPr>
            <w:tcW w:w="403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r>
              <w:rPr>
                <w:rFonts w:hint="eastAsia" w:ascii="宋体" w:hAnsi="宋体" w:eastAsia="宋体" w:cs="宋体"/>
                <w:kern w:val="0"/>
                <w:sz w:val="22"/>
              </w:rPr>
              <w:t>112.84</w:t>
            </w:r>
          </w:p>
        </w:tc>
      </w:tr>
    </w:tbl>
    <w:p>
      <w:pPr>
        <w:autoSpaceDE w:val="0"/>
        <w:autoSpaceDN w:val="0"/>
        <w:adjustRightInd w:val="0"/>
        <w:spacing w:line="400" w:lineRule="exact"/>
        <w:ind w:left="198"/>
        <w:jc w:val="left"/>
        <w:rPr>
          <w:rFonts w:ascii="黑体" w:hAnsi="黑体" w:eastAsia="黑体" w:cs="Times New Roman"/>
          <w:sz w:val="32"/>
          <w:szCs w:val="32"/>
        </w:rPr>
      </w:pPr>
      <w:r>
        <w:rPr>
          <w:rFonts w:hint="eastAsia" w:ascii="黑体" w:hAnsi="黑体" w:eastAsia="黑体" w:cs="Times New Roman"/>
          <w:sz w:val="32"/>
          <w:szCs w:val="32"/>
        </w:rPr>
        <w:t xml:space="preserve">   八、名词解释</w:t>
      </w:r>
    </w:p>
    <w:p>
      <w:pPr>
        <w:pStyle w:val="12"/>
        <w:spacing w:line="400" w:lineRule="exact"/>
        <w:ind w:firstLine="627" w:firstLineChars="196"/>
        <w:rPr>
          <w:rFonts w:ascii="仿宋" w:hAnsi="仿宋" w:eastAsia="仿宋"/>
          <w:bCs/>
          <w:sz w:val="32"/>
          <w:szCs w:val="32"/>
        </w:rPr>
      </w:pPr>
      <w:r>
        <w:rPr>
          <w:rFonts w:hint="eastAsia" w:ascii="仿宋" w:hAnsi="仿宋" w:eastAsia="仿宋"/>
          <w:bCs/>
          <w:sz w:val="32"/>
          <w:szCs w:val="32"/>
        </w:rPr>
        <w:t>1</w:t>
      </w:r>
      <w:r>
        <w:rPr>
          <w:rFonts w:hint="eastAsia" w:ascii="仿宋" w:hAnsi="仿宋" w:eastAsia="仿宋" w:cs="FZFangSong-Z02"/>
          <w:sz w:val="32"/>
          <w:szCs w:val="32"/>
        </w:rPr>
        <w:t>、一般公共预算拨款收入：指县级财政当年拨付的资金。</w:t>
      </w:r>
    </w:p>
    <w:p>
      <w:pPr>
        <w:pStyle w:val="12"/>
        <w:spacing w:line="400" w:lineRule="exact"/>
        <w:rPr>
          <w:rFonts w:ascii="仿宋" w:hAnsi="仿宋" w:eastAsia="仿宋" w:cs="FZFangSong-Z02"/>
          <w:sz w:val="32"/>
          <w:szCs w:val="32"/>
        </w:rPr>
      </w:pPr>
      <w:r>
        <w:rPr>
          <w:rFonts w:hint="eastAsia" w:ascii="仿宋" w:hAnsi="仿宋" w:eastAsia="仿宋"/>
          <w:bCs/>
          <w:sz w:val="32"/>
          <w:szCs w:val="32"/>
        </w:rPr>
        <w:t xml:space="preserve">    2</w:t>
      </w:r>
      <w:r>
        <w:rPr>
          <w:rFonts w:hint="eastAsia" w:ascii="仿宋" w:hAnsi="仿宋" w:eastAsia="仿宋" w:cs="FZFangSong-Z02"/>
          <w:sz w:val="32"/>
          <w:szCs w:val="32"/>
        </w:rPr>
        <w:t>、事业收入：指事业单位开展专业业务活动及辅助活动所取得的收入。</w:t>
      </w:r>
    </w:p>
    <w:p>
      <w:pPr>
        <w:pStyle w:val="12"/>
        <w:spacing w:line="400" w:lineRule="exact"/>
        <w:rPr>
          <w:rFonts w:ascii="仿宋" w:hAnsi="仿宋" w:eastAsia="仿宋" w:cs="FZFangSong-Z02"/>
          <w:sz w:val="32"/>
          <w:szCs w:val="32"/>
        </w:rPr>
      </w:pPr>
      <w:r>
        <w:rPr>
          <w:rFonts w:hint="eastAsia" w:ascii="仿宋" w:hAnsi="仿宋" w:eastAsia="仿宋"/>
          <w:bCs/>
          <w:sz w:val="32"/>
          <w:szCs w:val="32"/>
        </w:rPr>
        <w:t xml:space="preserve">    3</w:t>
      </w:r>
      <w:r>
        <w:rPr>
          <w:rFonts w:hint="eastAsia" w:ascii="仿宋" w:hAnsi="仿宋" w:eastAsia="仿宋" w:cs="FZFangSong-Z02"/>
          <w:sz w:val="32"/>
          <w:szCs w:val="32"/>
        </w:rPr>
        <w:t>、其他收入：指除上述</w:t>
      </w:r>
      <w:r>
        <w:rPr>
          <w:rFonts w:hint="eastAsia" w:ascii="仿宋" w:hAnsi="仿宋" w:eastAsia="仿宋"/>
          <w:sz w:val="32"/>
          <w:szCs w:val="32"/>
        </w:rPr>
        <w:t>“</w:t>
      </w:r>
      <w:r>
        <w:rPr>
          <w:rFonts w:hint="eastAsia" w:ascii="仿宋" w:hAnsi="仿宋" w:eastAsia="仿宋" w:cs="FZFangSong-Z02"/>
          <w:sz w:val="32"/>
          <w:szCs w:val="32"/>
        </w:rPr>
        <w:t>财政拨款收入</w:t>
      </w:r>
      <w:r>
        <w:rPr>
          <w:rFonts w:hint="eastAsia" w:ascii="仿宋" w:hAnsi="仿宋" w:eastAsia="仿宋"/>
          <w:sz w:val="32"/>
          <w:szCs w:val="32"/>
        </w:rPr>
        <w:t>”</w:t>
      </w:r>
      <w:r>
        <w:rPr>
          <w:rFonts w:hint="eastAsia" w:ascii="仿宋" w:hAnsi="仿宋" w:eastAsia="仿宋" w:cs="FZFangSong-Z02"/>
          <w:sz w:val="32"/>
          <w:szCs w:val="32"/>
        </w:rPr>
        <w:t>、</w:t>
      </w:r>
      <w:r>
        <w:rPr>
          <w:rFonts w:hint="eastAsia" w:ascii="仿宋" w:hAnsi="仿宋" w:eastAsia="仿宋"/>
          <w:sz w:val="32"/>
          <w:szCs w:val="32"/>
        </w:rPr>
        <w:t>“</w:t>
      </w:r>
      <w:r>
        <w:rPr>
          <w:rFonts w:hint="eastAsia" w:ascii="仿宋" w:hAnsi="仿宋" w:eastAsia="仿宋" w:cs="FZFangSong-Z02"/>
          <w:sz w:val="32"/>
          <w:szCs w:val="32"/>
        </w:rPr>
        <w:t>事业收入</w:t>
      </w:r>
      <w:r>
        <w:rPr>
          <w:rFonts w:hint="eastAsia" w:ascii="仿宋" w:hAnsi="仿宋" w:eastAsia="仿宋"/>
          <w:sz w:val="32"/>
          <w:szCs w:val="32"/>
        </w:rPr>
        <w:t>”</w:t>
      </w:r>
      <w:r>
        <w:rPr>
          <w:rFonts w:hint="eastAsia" w:ascii="仿宋" w:hAnsi="仿宋" w:eastAsia="仿宋" w:cs="FZFangSong-Z02"/>
          <w:sz w:val="32"/>
          <w:szCs w:val="32"/>
        </w:rPr>
        <w:t>等以外的收入。主要是按规定动用的租房收入、存款利息收入等。</w:t>
      </w:r>
    </w:p>
    <w:p>
      <w:pPr>
        <w:pStyle w:val="12"/>
        <w:spacing w:line="400" w:lineRule="exact"/>
        <w:rPr>
          <w:rFonts w:ascii="仿宋" w:hAnsi="仿宋" w:eastAsia="仿宋" w:cs="FZFangSong-Z02"/>
          <w:sz w:val="32"/>
          <w:szCs w:val="32"/>
        </w:rPr>
      </w:pPr>
      <w:r>
        <w:rPr>
          <w:rFonts w:hint="eastAsia" w:ascii="仿宋" w:hAnsi="仿宋" w:eastAsia="仿宋"/>
          <w:bCs/>
          <w:sz w:val="32"/>
          <w:szCs w:val="32"/>
        </w:rPr>
        <w:t xml:space="preserve">    4</w:t>
      </w:r>
      <w:r>
        <w:rPr>
          <w:rFonts w:hint="eastAsia" w:ascii="仿宋" w:hAnsi="仿宋" w:eastAsia="仿宋" w:cs="FZFangSong-Z02"/>
          <w:sz w:val="32"/>
          <w:szCs w:val="32"/>
        </w:rPr>
        <w:t>、基本支出：</w:t>
      </w:r>
      <w:r>
        <w:rPr>
          <w:rFonts w:hint="eastAsia" w:ascii="仿宋" w:hAnsi="仿宋" w:eastAsia="仿宋"/>
          <w:sz w:val="32"/>
          <w:szCs w:val="32"/>
        </w:rPr>
        <w:t>指为保障机构正常运转、完成日常工作任务而发生的人员支出和公用支出。</w:t>
      </w:r>
    </w:p>
    <w:p>
      <w:pPr>
        <w:spacing w:line="400" w:lineRule="exact"/>
        <w:rPr>
          <w:rFonts w:ascii="仿宋" w:hAnsi="仿宋" w:eastAsia="仿宋"/>
          <w:sz w:val="32"/>
          <w:szCs w:val="32"/>
        </w:rPr>
      </w:pPr>
      <w:r>
        <w:rPr>
          <w:rFonts w:hint="eastAsia" w:ascii="仿宋" w:hAnsi="仿宋" w:eastAsia="仿宋"/>
          <w:bCs/>
          <w:sz w:val="32"/>
          <w:szCs w:val="32"/>
        </w:rPr>
        <w:t xml:space="preserve">    5</w:t>
      </w:r>
      <w:r>
        <w:rPr>
          <w:rFonts w:hint="eastAsia" w:ascii="仿宋" w:hAnsi="仿宋" w:eastAsia="仿宋" w:cs="FZFangSong-Z02"/>
          <w:sz w:val="32"/>
          <w:szCs w:val="32"/>
        </w:rPr>
        <w:t>、项目支出：</w:t>
      </w:r>
      <w:r>
        <w:rPr>
          <w:rFonts w:hint="eastAsia" w:ascii="仿宋" w:hAnsi="仿宋" w:eastAsia="仿宋"/>
          <w:sz w:val="32"/>
          <w:szCs w:val="32"/>
        </w:rPr>
        <w:t>指在基本支出之外为完成特定行政任务和事业发展目标所发生的支出。</w:t>
      </w:r>
    </w:p>
    <w:p>
      <w:pPr>
        <w:pStyle w:val="12"/>
        <w:spacing w:line="400" w:lineRule="exact"/>
        <w:rPr>
          <w:rFonts w:ascii="仿宋" w:hAnsi="仿宋" w:eastAsia="仿宋"/>
          <w:sz w:val="32"/>
          <w:szCs w:val="32"/>
        </w:rPr>
      </w:pPr>
      <w:r>
        <w:rPr>
          <w:rFonts w:hint="eastAsia" w:ascii="仿宋" w:hAnsi="仿宋" w:eastAsia="仿宋"/>
          <w:bCs/>
          <w:sz w:val="32"/>
          <w:szCs w:val="32"/>
        </w:rPr>
        <w:t xml:space="preserve">    6</w:t>
      </w:r>
      <w:r>
        <w:rPr>
          <w:rFonts w:hint="eastAsia" w:ascii="仿宋" w:hAnsi="仿宋" w:eastAsia="仿宋" w:cs="FZFangSong-Z02"/>
          <w:sz w:val="32"/>
          <w:szCs w:val="32"/>
        </w:rPr>
        <w:t>、上缴上级支出：</w:t>
      </w:r>
      <w:r>
        <w:rPr>
          <w:rFonts w:hint="eastAsia" w:ascii="仿宋" w:hAnsi="仿宋" w:eastAsia="仿宋"/>
          <w:sz w:val="32"/>
          <w:szCs w:val="32"/>
        </w:rPr>
        <w:t>指下级单位上缴上级的支出。</w:t>
      </w:r>
    </w:p>
    <w:p>
      <w:pPr>
        <w:pStyle w:val="12"/>
        <w:spacing w:line="400" w:lineRule="exact"/>
        <w:rPr>
          <w:rFonts w:ascii="仿宋" w:hAnsi="仿宋" w:eastAsia="仿宋" w:cs="FZFangSong-Z02"/>
          <w:sz w:val="32"/>
          <w:szCs w:val="32"/>
        </w:rPr>
      </w:pPr>
      <w:r>
        <w:rPr>
          <w:rFonts w:hint="eastAsia" w:ascii="仿宋" w:hAnsi="仿宋" w:eastAsia="仿宋"/>
          <w:bCs/>
          <w:sz w:val="32"/>
          <w:szCs w:val="32"/>
        </w:rPr>
        <w:t xml:space="preserve">    7</w:t>
      </w:r>
      <w:r>
        <w:rPr>
          <w:rFonts w:hint="eastAsia" w:ascii="仿宋" w:hAnsi="仿宋" w:eastAsia="仿宋" w:cs="FZFangSong-Z02"/>
          <w:sz w:val="32"/>
          <w:szCs w:val="32"/>
        </w:rPr>
        <w:t>、</w:t>
      </w:r>
      <w:r>
        <w:rPr>
          <w:rFonts w:hint="eastAsia" w:ascii="仿宋" w:hAnsi="仿宋" w:eastAsia="仿宋"/>
          <w:bCs/>
          <w:sz w:val="32"/>
          <w:szCs w:val="32"/>
        </w:rPr>
        <w:t>“</w:t>
      </w:r>
      <w:r>
        <w:rPr>
          <w:rFonts w:hint="eastAsia" w:ascii="仿宋" w:hAnsi="仿宋" w:eastAsia="仿宋" w:cs="FZFangSong-Z02"/>
          <w:sz w:val="32"/>
          <w:szCs w:val="32"/>
        </w:rPr>
        <w:t>三公</w:t>
      </w:r>
      <w:r>
        <w:rPr>
          <w:rFonts w:hint="eastAsia" w:ascii="仿宋" w:hAnsi="仿宋" w:eastAsia="仿宋"/>
          <w:bCs/>
          <w:sz w:val="32"/>
          <w:szCs w:val="32"/>
        </w:rPr>
        <w:t>”</w:t>
      </w:r>
      <w:r>
        <w:rPr>
          <w:rFonts w:hint="eastAsia" w:ascii="仿宋" w:hAnsi="仿宋" w:eastAsia="仿宋" w:cs="FZFangSong-Z02"/>
          <w:sz w:val="32"/>
          <w:szCs w:val="32"/>
        </w:rPr>
        <w:t>经费：纳入县级财政预算管理的</w:t>
      </w:r>
      <w:r>
        <w:rPr>
          <w:rFonts w:hint="eastAsia" w:ascii="仿宋" w:hAnsi="仿宋" w:eastAsia="仿宋"/>
          <w:sz w:val="32"/>
          <w:szCs w:val="32"/>
        </w:rPr>
        <w:t>“</w:t>
      </w:r>
      <w:r>
        <w:rPr>
          <w:rFonts w:hint="eastAsia" w:ascii="仿宋" w:hAnsi="仿宋" w:eastAsia="仿宋" w:cs="FZFangSong-Z02"/>
          <w:sz w:val="32"/>
          <w:szCs w:val="32"/>
        </w:rPr>
        <w:t>三公</w:t>
      </w:r>
      <w:r>
        <w:rPr>
          <w:rFonts w:hint="eastAsia" w:ascii="仿宋" w:hAnsi="仿宋" w:eastAsia="仿宋"/>
          <w:sz w:val="32"/>
          <w:szCs w:val="32"/>
        </w:rPr>
        <w:t>”</w:t>
      </w:r>
      <w:r>
        <w:rPr>
          <w:rFonts w:hint="eastAsia" w:ascii="仿宋" w:hAnsi="仿宋" w:eastAsia="仿宋"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400" w:lineRule="exact"/>
        <w:ind w:firstLine="640" w:firstLineChars="200"/>
        <w:jc w:val="left"/>
        <w:outlineLvl w:val="1"/>
        <w:rPr>
          <w:rFonts w:ascii="Verdana" w:hAnsi="Verdana" w:cs="宋体"/>
          <w:color w:val="484747"/>
          <w:kern w:val="0"/>
          <w:sz w:val="32"/>
          <w:szCs w:val="32"/>
        </w:rPr>
      </w:pPr>
      <w:r>
        <w:rPr>
          <w:rFonts w:hint="eastAsia" w:ascii="仿宋" w:hAnsi="仿宋" w:eastAsia="仿宋"/>
          <w:bCs/>
          <w:sz w:val="32"/>
          <w:szCs w:val="32"/>
        </w:rPr>
        <w:t>8</w:t>
      </w:r>
      <w:r>
        <w:rPr>
          <w:rFonts w:hint="eastAsia" w:ascii="仿宋" w:hAnsi="仿宋" w:eastAsia="仿宋"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 w:hAnsi="仿宋" w:eastAsia="仿宋"/>
          <w:sz w:val="32"/>
          <w:szCs w:val="32"/>
        </w:rPr>
        <w:t>其他费用。</w:t>
      </w:r>
    </w:p>
    <w:p>
      <w:pPr>
        <w:tabs>
          <w:tab w:val="left" w:pos="11490"/>
        </w:tabs>
        <w:spacing w:line="400" w:lineRule="exact"/>
        <w:rPr>
          <w:rFonts w:ascii="黑体" w:hAnsi="黑体" w:eastAsia="黑体" w:cs="黑体"/>
          <w:bCs/>
          <w:sz w:val="32"/>
          <w:szCs w:val="32"/>
        </w:rPr>
      </w:pPr>
      <w:r>
        <w:rPr>
          <w:rFonts w:hint="eastAsia" w:ascii="黑体" w:hAnsi="黑体" w:eastAsia="黑体" w:cs="黑体"/>
          <w:bCs/>
          <w:sz w:val="32"/>
          <w:szCs w:val="32"/>
        </w:rPr>
        <w:t xml:space="preserve">    九、其它需要说明的事项</w:t>
      </w:r>
    </w:p>
    <w:p>
      <w:pPr>
        <w:widowControl/>
        <w:spacing w:line="400" w:lineRule="exact"/>
        <w:ind w:firstLine="562"/>
        <w:jc w:val="left"/>
        <w:rPr>
          <w:rFonts w:ascii="Verdana" w:hAnsi="Verdana" w:eastAsia="宋体" w:cs="宋体"/>
          <w:kern w:val="0"/>
          <w:sz w:val="18"/>
          <w:szCs w:val="18"/>
        </w:rPr>
      </w:pPr>
      <w:r>
        <w:rPr>
          <w:rFonts w:hint="eastAsia" w:ascii="仿宋" w:hAnsi="仿宋" w:eastAsia="仿宋"/>
          <w:sz w:val="32"/>
          <w:szCs w:val="32"/>
        </w:rPr>
        <w:t>我单位无其它需要说明的事项。</w:t>
      </w:r>
    </w:p>
    <w:sectPr>
      <w:pgSz w:w="16838" w:h="11906" w:orient="landscape"/>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FjMjIwMGE0MWVhOGMxNTc0YmNiZTM4NzA1MzVkYTAifQ=="/>
  </w:docVars>
  <w:rsids>
    <w:rsidRoot w:val="00F66032"/>
    <w:rsid w:val="00022453"/>
    <w:rsid w:val="00025A49"/>
    <w:rsid w:val="00037607"/>
    <w:rsid w:val="00037AF6"/>
    <w:rsid w:val="00045A61"/>
    <w:rsid w:val="00072DF8"/>
    <w:rsid w:val="00075D5F"/>
    <w:rsid w:val="00082A34"/>
    <w:rsid w:val="000C2435"/>
    <w:rsid w:val="000C3A19"/>
    <w:rsid w:val="000F55CA"/>
    <w:rsid w:val="00101675"/>
    <w:rsid w:val="00103C92"/>
    <w:rsid w:val="0010545E"/>
    <w:rsid w:val="00121719"/>
    <w:rsid w:val="001245BB"/>
    <w:rsid w:val="00127260"/>
    <w:rsid w:val="00144C9C"/>
    <w:rsid w:val="00166CDA"/>
    <w:rsid w:val="001814FC"/>
    <w:rsid w:val="0018479D"/>
    <w:rsid w:val="0019089B"/>
    <w:rsid w:val="00194F39"/>
    <w:rsid w:val="001D12C7"/>
    <w:rsid w:val="001E4097"/>
    <w:rsid w:val="00207E75"/>
    <w:rsid w:val="0021629D"/>
    <w:rsid w:val="00241FD4"/>
    <w:rsid w:val="00251B12"/>
    <w:rsid w:val="002645E1"/>
    <w:rsid w:val="002645FB"/>
    <w:rsid w:val="00296113"/>
    <w:rsid w:val="002A3DAE"/>
    <w:rsid w:val="002B33A3"/>
    <w:rsid w:val="002C391D"/>
    <w:rsid w:val="002D637D"/>
    <w:rsid w:val="002F3E58"/>
    <w:rsid w:val="0030542C"/>
    <w:rsid w:val="003079B4"/>
    <w:rsid w:val="00311190"/>
    <w:rsid w:val="00311B7A"/>
    <w:rsid w:val="003172F9"/>
    <w:rsid w:val="003B5CF8"/>
    <w:rsid w:val="003C0007"/>
    <w:rsid w:val="003C2A58"/>
    <w:rsid w:val="003D4EF0"/>
    <w:rsid w:val="003E1A7F"/>
    <w:rsid w:val="00414709"/>
    <w:rsid w:val="00451871"/>
    <w:rsid w:val="00461ABC"/>
    <w:rsid w:val="00472923"/>
    <w:rsid w:val="004A5C3E"/>
    <w:rsid w:val="004B15D6"/>
    <w:rsid w:val="004E3066"/>
    <w:rsid w:val="004E74CD"/>
    <w:rsid w:val="00503E36"/>
    <w:rsid w:val="00564926"/>
    <w:rsid w:val="00571835"/>
    <w:rsid w:val="00573562"/>
    <w:rsid w:val="005A6158"/>
    <w:rsid w:val="005C01A7"/>
    <w:rsid w:val="005C66F6"/>
    <w:rsid w:val="00614A29"/>
    <w:rsid w:val="006406C5"/>
    <w:rsid w:val="006419C4"/>
    <w:rsid w:val="00647AAD"/>
    <w:rsid w:val="00670CF6"/>
    <w:rsid w:val="006C5216"/>
    <w:rsid w:val="006D0B27"/>
    <w:rsid w:val="006E57FD"/>
    <w:rsid w:val="00715065"/>
    <w:rsid w:val="0075266D"/>
    <w:rsid w:val="0075393C"/>
    <w:rsid w:val="0076067B"/>
    <w:rsid w:val="00776C08"/>
    <w:rsid w:val="007B4EE0"/>
    <w:rsid w:val="007E1DA8"/>
    <w:rsid w:val="007E5BD4"/>
    <w:rsid w:val="007F6C26"/>
    <w:rsid w:val="00800968"/>
    <w:rsid w:val="008334AE"/>
    <w:rsid w:val="00836FED"/>
    <w:rsid w:val="008373EF"/>
    <w:rsid w:val="00845CD2"/>
    <w:rsid w:val="008502D8"/>
    <w:rsid w:val="00851DAF"/>
    <w:rsid w:val="00852B0D"/>
    <w:rsid w:val="008676C4"/>
    <w:rsid w:val="00881692"/>
    <w:rsid w:val="00891E7D"/>
    <w:rsid w:val="00892A3C"/>
    <w:rsid w:val="008B3CC5"/>
    <w:rsid w:val="008C0472"/>
    <w:rsid w:val="008C2BAF"/>
    <w:rsid w:val="008D0835"/>
    <w:rsid w:val="008D7381"/>
    <w:rsid w:val="008E4261"/>
    <w:rsid w:val="008F2E1B"/>
    <w:rsid w:val="008F4662"/>
    <w:rsid w:val="00905D08"/>
    <w:rsid w:val="00925753"/>
    <w:rsid w:val="009269C0"/>
    <w:rsid w:val="00937648"/>
    <w:rsid w:val="00945938"/>
    <w:rsid w:val="00952879"/>
    <w:rsid w:val="00957022"/>
    <w:rsid w:val="009640CA"/>
    <w:rsid w:val="00966C5C"/>
    <w:rsid w:val="00973104"/>
    <w:rsid w:val="009C0D8A"/>
    <w:rsid w:val="009C6BFE"/>
    <w:rsid w:val="009F6392"/>
    <w:rsid w:val="00A50829"/>
    <w:rsid w:val="00A70B81"/>
    <w:rsid w:val="00A72D2E"/>
    <w:rsid w:val="00A911E7"/>
    <w:rsid w:val="00A939D9"/>
    <w:rsid w:val="00A96550"/>
    <w:rsid w:val="00AF2525"/>
    <w:rsid w:val="00B20712"/>
    <w:rsid w:val="00B43238"/>
    <w:rsid w:val="00B448BB"/>
    <w:rsid w:val="00B54F70"/>
    <w:rsid w:val="00B60AF0"/>
    <w:rsid w:val="00B75216"/>
    <w:rsid w:val="00B87A5C"/>
    <w:rsid w:val="00B91D52"/>
    <w:rsid w:val="00BA1ACD"/>
    <w:rsid w:val="00BA23E3"/>
    <w:rsid w:val="00BC0283"/>
    <w:rsid w:val="00C21C5E"/>
    <w:rsid w:val="00C3630B"/>
    <w:rsid w:val="00CA7176"/>
    <w:rsid w:val="00CD0A44"/>
    <w:rsid w:val="00CD2773"/>
    <w:rsid w:val="00CD65BF"/>
    <w:rsid w:val="00CD705A"/>
    <w:rsid w:val="00CE143B"/>
    <w:rsid w:val="00D53A65"/>
    <w:rsid w:val="00D5712C"/>
    <w:rsid w:val="00D63184"/>
    <w:rsid w:val="00D67651"/>
    <w:rsid w:val="00D92A44"/>
    <w:rsid w:val="00DA319D"/>
    <w:rsid w:val="00DB653A"/>
    <w:rsid w:val="00DC1C3C"/>
    <w:rsid w:val="00DE4609"/>
    <w:rsid w:val="00DF1F9F"/>
    <w:rsid w:val="00E14202"/>
    <w:rsid w:val="00E167C7"/>
    <w:rsid w:val="00E21358"/>
    <w:rsid w:val="00E2243C"/>
    <w:rsid w:val="00E2331A"/>
    <w:rsid w:val="00E55241"/>
    <w:rsid w:val="00EC47F6"/>
    <w:rsid w:val="00EC4D1E"/>
    <w:rsid w:val="00EE1B43"/>
    <w:rsid w:val="00EF7C2A"/>
    <w:rsid w:val="00F00FD3"/>
    <w:rsid w:val="00F01E89"/>
    <w:rsid w:val="00F153EF"/>
    <w:rsid w:val="00F15FDF"/>
    <w:rsid w:val="00F21878"/>
    <w:rsid w:val="00F310C3"/>
    <w:rsid w:val="00F40EF2"/>
    <w:rsid w:val="00F47ACB"/>
    <w:rsid w:val="00F532DA"/>
    <w:rsid w:val="00F66032"/>
    <w:rsid w:val="00F958C2"/>
    <w:rsid w:val="00FB5B86"/>
    <w:rsid w:val="015E22A7"/>
    <w:rsid w:val="02A35ABB"/>
    <w:rsid w:val="052F7EE4"/>
    <w:rsid w:val="0A132CC9"/>
    <w:rsid w:val="0BA87947"/>
    <w:rsid w:val="0C453A2F"/>
    <w:rsid w:val="0D384872"/>
    <w:rsid w:val="0E1272B3"/>
    <w:rsid w:val="0E4C3FB9"/>
    <w:rsid w:val="0ECC7D5D"/>
    <w:rsid w:val="0F450DF3"/>
    <w:rsid w:val="10360B99"/>
    <w:rsid w:val="113A21BD"/>
    <w:rsid w:val="12C96627"/>
    <w:rsid w:val="17EF6A21"/>
    <w:rsid w:val="1A5F1011"/>
    <w:rsid w:val="1C711440"/>
    <w:rsid w:val="1D0F1013"/>
    <w:rsid w:val="1DB77DFD"/>
    <w:rsid w:val="1F925682"/>
    <w:rsid w:val="224E639F"/>
    <w:rsid w:val="23674AD3"/>
    <w:rsid w:val="24406F89"/>
    <w:rsid w:val="26367914"/>
    <w:rsid w:val="264734B3"/>
    <w:rsid w:val="28762880"/>
    <w:rsid w:val="289F521A"/>
    <w:rsid w:val="290E407E"/>
    <w:rsid w:val="2919310E"/>
    <w:rsid w:val="2B714533"/>
    <w:rsid w:val="2CB74F17"/>
    <w:rsid w:val="2FB969BD"/>
    <w:rsid w:val="30404144"/>
    <w:rsid w:val="31752614"/>
    <w:rsid w:val="355330E0"/>
    <w:rsid w:val="36146BC4"/>
    <w:rsid w:val="36601B2B"/>
    <w:rsid w:val="3A6C3458"/>
    <w:rsid w:val="3B2F04D2"/>
    <w:rsid w:val="3BC77C35"/>
    <w:rsid w:val="3D1F642A"/>
    <w:rsid w:val="3E7C7008"/>
    <w:rsid w:val="3F6A47CA"/>
    <w:rsid w:val="3FE14B33"/>
    <w:rsid w:val="40C22E03"/>
    <w:rsid w:val="41161CFC"/>
    <w:rsid w:val="414E4F77"/>
    <w:rsid w:val="429F2E1C"/>
    <w:rsid w:val="480F3E2A"/>
    <w:rsid w:val="49D47710"/>
    <w:rsid w:val="4A621A52"/>
    <w:rsid w:val="4D2458BB"/>
    <w:rsid w:val="4F200449"/>
    <w:rsid w:val="50F17D6E"/>
    <w:rsid w:val="510A3AAE"/>
    <w:rsid w:val="55176516"/>
    <w:rsid w:val="56931ED2"/>
    <w:rsid w:val="5D540DC2"/>
    <w:rsid w:val="5D907470"/>
    <w:rsid w:val="5E460E27"/>
    <w:rsid w:val="5F331EEE"/>
    <w:rsid w:val="5F6535BB"/>
    <w:rsid w:val="61C60BDB"/>
    <w:rsid w:val="672F1B3F"/>
    <w:rsid w:val="67693F46"/>
    <w:rsid w:val="68CF7A4A"/>
    <w:rsid w:val="69F655EA"/>
    <w:rsid w:val="6C387A40"/>
    <w:rsid w:val="6D0E281B"/>
    <w:rsid w:val="6DAC7338"/>
    <w:rsid w:val="6E7F4EA4"/>
    <w:rsid w:val="6F744B9F"/>
    <w:rsid w:val="71220D2A"/>
    <w:rsid w:val="72CC0BF9"/>
    <w:rsid w:val="73FA539E"/>
    <w:rsid w:val="76F23547"/>
    <w:rsid w:val="77AA5952"/>
    <w:rsid w:val="78335A8B"/>
    <w:rsid w:val="7BAE303E"/>
    <w:rsid w:val="7C735EAC"/>
    <w:rsid w:val="7C7D38A8"/>
    <w:rsid w:val="7F507549"/>
    <w:rsid w:val="7FBC0F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toc 2"/>
    <w:basedOn w:val="1"/>
    <w:next w:val="1"/>
    <w:autoRedefine/>
    <w:qFormat/>
    <w:uiPriority w:val="0"/>
    <w:pPr>
      <w:ind w:left="420" w:leftChars="200"/>
    </w:pPr>
    <w:rPr>
      <w:rFonts w:ascii="Times New Roman" w:hAnsi="Times New Roman" w:eastAsia="宋体" w:cs="Times New Roman"/>
      <w:szCs w:val="24"/>
    </w:rPr>
  </w:style>
  <w:style w:type="table" w:styleId="7">
    <w:name w:val="Table Grid"/>
    <w:basedOn w:val="6"/>
    <w:autoRedefine/>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3"/>
    <w:qFormat/>
    <w:uiPriority w:val="0"/>
    <w:rPr>
      <w:rFonts w:ascii="Times New Roman" w:hAnsi="Times New Roman" w:eastAsia="宋体" w:cs="Times New Roman"/>
      <w:sz w:val="18"/>
      <w:szCs w:val="18"/>
    </w:rPr>
  </w:style>
  <w:style w:type="character" w:customStyle="1" w:styleId="10">
    <w:name w:val="页脚 Char"/>
    <w:basedOn w:val="8"/>
    <w:link w:val="2"/>
    <w:qFormat/>
    <w:uiPriority w:val="0"/>
    <w:rPr>
      <w:rFonts w:ascii="Times New Roman" w:hAnsi="Times New Roman" w:eastAsia="宋体" w:cs="Times New Roman"/>
      <w:sz w:val="18"/>
      <w:szCs w:val="18"/>
    </w:rPr>
  </w:style>
  <w:style w:type="paragraph" w:customStyle="1" w:styleId="11">
    <w:name w:val="列出段落1"/>
    <w:basedOn w:val="1"/>
    <w:autoRedefine/>
    <w:unhideWhenUsed/>
    <w:qFormat/>
    <w:uiPriority w:val="99"/>
    <w:pPr>
      <w:ind w:firstLine="420" w:firstLineChars="200"/>
    </w:pPr>
  </w:style>
  <w:style w:type="paragraph" w:customStyle="1" w:styleId="12">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C434E-0ADD-4642-8EAE-A3C8E8F7626D}">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1063</Words>
  <Characters>6065</Characters>
  <Lines>50</Lines>
  <Paragraphs>14</Paragraphs>
  <TotalTime>552</TotalTime>
  <ScaleCrop>false</ScaleCrop>
  <LinksUpToDate>false</LinksUpToDate>
  <CharactersWithSpaces>7114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ଘMonaଓ</cp:lastModifiedBy>
  <cp:lastPrinted>2017-06-27T00:48:00Z</cp:lastPrinted>
  <dcterms:modified xsi:type="dcterms:W3CDTF">2024-01-03T05:46:12Z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99575A3124DC4AD0B44CFDEA6381B349_12</vt:lpwstr>
  </property>
</Properties>
</file>